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88" w:rsidRDefault="00886560" w:rsidP="00824038">
      <w:pPr>
        <w:pStyle w:val="Subtitle"/>
        <w:ind w:left="0"/>
        <w:rPr>
          <w:sz w:val="28"/>
        </w:rPr>
      </w:pPr>
      <w:r w:rsidRPr="001E5E88">
        <w:rPr>
          <w:sz w:val="28"/>
        </w:rPr>
        <mc:AlternateContent>
          <mc:Choice Requires="wps">
            <w:drawing>
              <wp:anchor distT="0" distB="0" distL="114300" distR="114300" simplePos="0" relativeHeight="251657216" behindDoc="0" locked="0" layoutInCell="1" allowOverlap="1" wp14:anchorId="32009223" wp14:editId="5AF3221A">
                <wp:simplePos x="0" y="0"/>
                <wp:positionH relativeFrom="column">
                  <wp:posOffset>-457200</wp:posOffset>
                </wp:positionH>
                <wp:positionV relativeFrom="paragraph">
                  <wp:posOffset>-612140</wp:posOffset>
                </wp:positionV>
                <wp:extent cx="7772400" cy="2514600"/>
                <wp:effectExtent l="0" t="0" r="0" b="254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146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650" w:rsidRDefault="001C0650">
                            <w:pPr>
                              <w:pStyle w:val="Title"/>
                            </w:pPr>
                            <w:r w:rsidRPr="00BE2FBE">
                              <w:t>Whatcom County</w:t>
                            </w:r>
                            <w:r>
                              <w:t xml:space="preserve"> 20-Year Capital Facilities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48.2pt;width:61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" fillcolor="#036" stroked="f">
                <v:textbox>
                  <w:txbxContent>
                    <w:p w:rsidR="001C0650" w:rsidRDefault="001C0650">
                      <w:pPr>
                        <w:pStyle w:val="Title"/>
                      </w:pPr>
                      <w:r w:rsidRPr="00BE2FBE">
                        <w:t>Whatcom County</w:t>
                      </w:r>
                      <w:r>
                        <w:t xml:space="preserve"> 20-Year Capital Facilities Plan</w:t>
                      </w:r>
                    </w:p>
                  </w:txbxContent>
                </v:textbox>
                <w10:wrap type="square"/>
              </v:shape>
            </w:pict>
          </mc:Fallback>
        </mc:AlternateContent>
      </w:r>
      <w:r w:rsidR="003530EB" w:rsidRPr="001E5E88">
        <w:rPr>
          <w:sz w:val="28"/>
        </w:rPr>
        <w:t xml:space="preserve"> </w:t>
      </w:r>
    </w:p>
    <w:p w:rsidR="00B502B3" w:rsidRPr="001E5E88" w:rsidRDefault="007E6C3C" w:rsidP="001E5E88">
      <w:pPr>
        <w:pStyle w:val="Subtitle"/>
        <w:ind w:left="0"/>
        <w:jc w:val="center"/>
        <w:rPr>
          <w:sz w:val="32"/>
          <w:szCs w:val="32"/>
        </w:rPr>
      </w:pPr>
      <w:r w:rsidRPr="001E5E88">
        <w:rPr>
          <w:sz w:val="32"/>
          <w:szCs w:val="32"/>
        </w:rPr>
        <w:t xml:space="preserve">Whatcom County </w:t>
      </w:r>
      <w:r w:rsidR="003F5BC7" w:rsidRPr="001E5E88">
        <w:rPr>
          <w:sz w:val="32"/>
          <w:szCs w:val="32"/>
        </w:rPr>
        <w:t xml:space="preserve">Comprehensive Plan – </w:t>
      </w:r>
      <w:r w:rsidRPr="001E5E88">
        <w:rPr>
          <w:sz w:val="32"/>
          <w:szCs w:val="32"/>
        </w:rPr>
        <w:t>Appendix E</w:t>
      </w:r>
      <w:r w:rsidR="003F5BC7" w:rsidRPr="001E5E88">
        <w:rPr>
          <w:sz w:val="32"/>
          <w:szCs w:val="32"/>
        </w:rPr>
        <w:t xml:space="preserve"> </w:t>
      </w:r>
      <w:r w:rsidR="003F5BC7" w:rsidRPr="001E5E88">
        <w:rPr>
          <w:sz w:val="32"/>
          <w:szCs w:val="32"/>
        </w:rPr>
        <w:sym w:font="Wingdings" w:char="F06E"/>
      </w:r>
      <w:r w:rsidR="003F5BC7" w:rsidRPr="001E5E88">
        <w:rPr>
          <w:sz w:val="32"/>
          <w:szCs w:val="32"/>
        </w:rPr>
        <w:t xml:space="preserve"> </w:t>
      </w:r>
      <w:r w:rsidR="001E5E88" w:rsidRPr="001E5E88">
        <w:rPr>
          <w:sz w:val="32"/>
          <w:szCs w:val="32"/>
        </w:rPr>
        <w:t>May 26, 2016</w:t>
      </w:r>
    </w:p>
    <w:p w:rsidR="00AD4A45" w:rsidRPr="001E5E88" w:rsidRDefault="00B502B3" w:rsidP="001E5E88">
      <w:pPr>
        <w:pStyle w:val="Subtitle"/>
        <w:ind w:left="0"/>
        <w:jc w:val="center"/>
        <w:rPr>
          <w:sz w:val="28"/>
        </w:rPr>
      </w:pPr>
      <w:r w:rsidRPr="001E5E88">
        <w:rPr>
          <w:sz w:val="32"/>
          <w:szCs w:val="32"/>
        </w:rPr>
        <w:t xml:space="preserve">Planning Commission Recommended </w:t>
      </w:r>
      <w:r w:rsidR="00AD4A45" w:rsidRPr="001E5E88">
        <w:rPr>
          <w:sz w:val="32"/>
          <w:szCs w:val="32"/>
        </w:rPr>
        <w:t>Draft</w:t>
      </w:r>
    </w:p>
    <w:p w:rsidR="003F5BC7" w:rsidRDefault="003F5BC7">
      <w:pPr>
        <w:pStyle w:val="Subtitle"/>
      </w:pPr>
    </w:p>
    <w:p w:rsidR="003F5BC7" w:rsidRDefault="003F5BC7">
      <w:pPr>
        <w:pStyle w:val="Subtitle"/>
      </w:pPr>
    </w:p>
    <w:p w:rsidR="00A75BDC" w:rsidRDefault="00A75BDC">
      <w:pPr>
        <w:pStyle w:val="Subtitle"/>
      </w:pPr>
    </w:p>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Pr="00A75BDC" w:rsidRDefault="00A75BDC" w:rsidP="00A75BDC"/>
    <w:p w:rsidR="00A75BDC" w:rsidRDefault="00A75BDC" w:rsidP="00A75BDC"/>
    <w:p w:rsidR="00A75BDC" w:rsidRPr="00A75BDC" w:rsidRDefault="00A75BDC" w:rsidP="00A75BDC">
      <w:pPr>
        <w:tabs>
          <w:tab w:val="left" w:pos="1256"/>
        </w:tabs>
        <w:jc w:val="right"/>
        <w:rPr>
          <w:rFonts w:ascii="Arial Narrow" w:hAnsi="Arial Narrow"/>
        </w:rPr>
      </w:pPr>
      <w:r>
        <w:tab/>
      </w:r>
    </w:p>
    <w:p w:rsidR="00A75BDC" w:rsidRDefault="00A75BDC" w:rsidP="00A75BDC"/>
    <w:p w:rsidR="003F5BC7" w:rsidRDefault="003F5BC7">
      <w:pPr>
        <w:pStyle w:val="TOAHeading"/>
      </w:pPr>
      <w:r>
        <w:t>Table of Contents</w:t>
      </w:r>
    </w:p>
    <w:p w:rsidR="000556F0" w:rsidRDefault="00395422">
      <w:pPr>
        <w:pStyle w:val="TOC1"/>
        <w:rPr>
          <w:b w:val="0"/>
          <w:bCs/>
        </w:rPr>
      </w:pPr>
      <w:r>
        <w:rPr>
          <w:b w:val="0"/>
          <w:bCs/>
        </w:rPr>
        <w:t xml:space="preserve">Chapter 1 – </w:t>
      </w:r>
      <w:r w:rsidR="000556F0">
        <w:rPr>
          <w:b w:val="0"/>
          <w:bCs/>
        </w:rPr>
        <w:t>Introduction………….</w:t>
      </w:r>
      <w:r>
        <w:rPr>
          <w:b w:val="0"/>
          <w:bCs/>
        </w:rPr>
        <w:t>………………………………………</w:t>
      </w:r>
      <w:r w:rsidR="00FB094C">
        <w:rPr>
          <w:b w:val="0"/>
          <w:bCs/>
        </w:rPr>
        <w:t>..</w:t>
      </w:r>
      <w:r w:rsidR="00BA1726">
        <w:rPr>
          <w:b w:val="0"/>
          <w:bCs/>
        </w:rPr>
        <w:t>2</w:t>
      </w:r>
    </w:p>
    <w:p w:rsidR="000556F0" w:rsidRDefault="000556F0">
      <w:pPr>
        <w:pStyle w:val="TOC1"/>
        <w:rPr>
          <w:b w:val="0"/>
          <w:bCs/>
        </w:rPr>
      </w:pPr>
      <w:r>
        <w:rPr>
          <w:b w:val="0"/>
          <w:bCs/>
        </w:rPr>
        <w:t>Chapter 2 – Parks, Trails and Activity Centers…………………………</w:t>
      </w:r>
      <w:r w:rsidR="00FB094C">
        <w:rPr>
          <w:b w:val="0"/>
          <w:bCs/>
        </w:rPr>
        <w:t>.</w:t>
      </w:r>
      <w:r w:rsidR="00BA1726">
        <w:rPr>
          <w:b w:val="0"/>
          <w:bCs/>
        </w:rPr>
        <w:t>5</w:t>
      </w:r>
    </w:p>
    <w:p w:rsidR="000556F0" w:rsidRDefault="000556F0">
      <w:pPr>
        <w:pStyle w:val="TOC1"/>
        <w:rPr>
          <w:b w:val="0"/>
          <w:bCs/>
        </w:rPr>
      </w:pPr>
      <w:r>
        <w:rPr>
          <w:b w:val="0"/>
          <w:bCs/>
        </w:rPr>
        <w:t>Chapter 3 – Maintenance &amp; Operations………………………………</w:t>
      </w:r>
      <w:r w:rsidR="00BA1726">
        <w:rPr>
          <w:b w:val="0"/>
          <w:bCs/>
        </w:rPr>
        <w:t>…</w:t>
      </w:r>
      <w:r w:rsidR="00FB094C">
        <w:rPr>
          <w:b w:val="0"/>
          <w:bCs/>
        </w:rPr>
        <w:t>.</w:t>
      </w:r>
      <w:r w:rsidR="00BA1726">
        <w:rPr>
          <w:b w:val="0"/>
          <w:bCs/>
        </w:rPr>
        <w:t>9</w:t>
      </w:r>
    </w:p>
    <w:p w:rsidR="000556F0" w:rsidRDefault="000556F0">
      <w:pPr>
        <w:pStyle w:val="TOC1"/>
        <w:rPr>
          <w:b w:val="0"/>
          <w:bCs/>
        </w:rPr>
      </w:pPr>
      <w:r>
        <w:rPr>
          <w:b w:val="0"/>
          <w:bCs/>
        </w:rPr>
        <w:t>Chapter 4 – General Government Office Buildings and Sites…</w:t>
      </w:r>
      <w:r w:rsidR="00BA1726">
        <w:rPr>
          <w:b w:val="0"/>
          <w:bCs/>
        </w:rPr>
        <w:t>……..10</w:t>
      </w:r>
    </w:p>
    <w:p w:rsidR="000556F0" w:rsidRDefault="000556F0">
      <w:pPr>
        <w:pStyle w:val="TOC1"/>
        <w:rPr>
          <w:b w:val="0"/>
          <w:bCs/>
        </w:rPr>
      </w:pPr>
      <w:r>
        <w:rPr>
          <w:b w:val="0"/>
          <w:bCs/>
        </w:rPr>
        <w:t>Chapter 5 – Sheriff’s Office…………………………………</w:t>
      </w:r>
      <w:r w:rsidR="00BA1726">
        <w:rPr>
          <w:b w:val="0"/>
          <w:bCs/>
        </w:rPr>
        <w:t>…………….11</w:t>
      </w:r>
    </w:p>
    <w:p w:rsidR="000556F0" w:rsidRDefault="000556F0">
      <w:pPr>
        <w:pStyle w:val="TOC1"/>
        <w:rPr>
          <w:b w:val="0"/>
          <w:bCs/>
        </w:rPr>
      </w:pPr>
      <w:r>
        <w:rPr>
          <w:b w:val="0"/>
          <w:bCs/>
        </w:rPr>
        <w:t>Chapter 6 – Emergency Management……………………</w:t>
      </w:r>
      <w:r w:rsidR="00BA1726">
        <w:rPr>
          <w:b w:val="0"/>
          <w:bCs/>
        </w:rPr>
        <w:t>……………..12</w:t>
      </w:r>
    </w:p>
    <w:p w:rsidR="000556F0" w:rsidRDefault="000556F0">
      <w:pPr>
        <w:pStyle w:val="TOC1"/>
        <w:rPr>
          <w:b w:val="0"/>
          <w:bCs/>
        </w:rPr>
      </w:pPr>
      <w:r>
        <w:rPr>
          <w:b w:val="0"/>
          <w:bCs/>
        </w:rPr>
        <w:t>Chapter 7 – Adult Corrections……………………………</w:t>
      </w:r>
      <w:r w:rsidR="00BA1726">
        <w:rPr>
          <w:b w:val="0"/>
          <w:bCs/>
        </w:rPr>
        <w:t>……………….13</w:t>
      </w:r>
    </w:p>
    <w:p w:rsidR="000556F0" w:rsidRDefault="000556F0">
      <w:pPr>
        <w:pStyle w:val="TOC1"/>
        <w:rPr>
          <w:b w:val="0"/>
          <w:bCs/>
        </w:rPr>
      </w:pPr>
      <w:r>
        <w:rPr>
          <w:b w:val="0"/>
          <w:bCs/>
        </w:rPr>
        <w:t>Chapter 8 – Juvenile Detention…………………………</w:t>
      </w:r>
      <w:r w:rsidR="00BA1726">
        <w:rPr>
          <w:b w:val="0"/>
          <w:bCs/>
        </w:rPr>
        <w:t>……………..…</w:t>
      </w:r>
      <w:r w:rsidR="00FB094C">
        <w:rPr>
          <w:b w:val="0"/>
          <w:bCs/>
        </w:rPr>
        <w:t>.</w:t>
      </w:r>
      <w:r w:rsidR="00BA1726">
        <w:rPr>
          <w:b w:val="0"/>
          <w:bCs/>
        </w:rPr>
        <w:t>15</w:t>
      </w:r>
    </w:p>
    <w:p w:rsidR="000556F0" w:rsidRDefault="000556F0">
      <w:pPr>
        <w:pStyle w:val="TOC1"/>
        <w:rPr>
          <w:b w:val="0"/>
          <w:bCs/>
        </w:rPr>
      </w:pPr>
      <w:r>
        <w:rPr>
          <w:b w:val="0"/>
          <w:bCs/>
        </w:rPr>
        <w:t>Chapter 9 – Transportation……………………………</w:t>
      </w:r>
      <w:r w:rsidR="00BA1726">
        <w:rPr>
          <w:b w:val="0"/>
          <w:bCs/>
        </w:rPr>
        <w:t>…………………..16</w:t>
      </w:r>
    </w:p>
    <w:p w:rsidR="000556F0" w:rsidRDefault="000556F0">
      <w:pPr>
        <w:pStyle w:val="TOC1"/>
        <w:rPr>
          <w:b w:val="0"/>
          <w:bCs/>
        </w:rPr>
      </w:pPr>
      <w:r>
        <w:rPr>
          <w:b w:val="0"/>
          <w:bCs/>
        </w:rPr>
        <w:t>Chapter 10 – Stormwater Facilities…………………</w:t>
      </w:r>
      <w:r w:rsidR="00BA1726">
        <w:rPr>
          <w:b w:val="0"/>
          <w:bCs/>
        </w:rPr>
        <w:t>…………………….25</w:t>
      </w:r>
    </w:p>
    <w:p w:rsidR="000556F0" w:rsidRDefault="000556F0">
      <w:pPr>
        <w:pStyle w:val="TOC1"/>
        <w:rPr>
          <w:b w:val="0"/>
          <w:bCs/>
        </w:rPr>
      </w:pPr>
      <w:r>
        <w:rPr>
          <w:b w:val="0"/>
          <w:bCs/>
        </w:rPr>
        <w:t>Chapter 11 - Water Systems…………………………</w:t>
      </w:r>
      <w:r w:rsidR="00BA1726">
        <w:rPr>
          <w:b w:val="0"/>
          <w:bCs/>
        </w:rPr>
        <w:t>……………………27</w:t>
      </w:r>
    </w:p>
    <w:p w:rsidR="000556F0" w:rsidRDefault="000556F0">
      <w:pPr>
        <w:pStyle w:val="TOC1"/>
        <w:rPr>
          <w:b w:val="0"/>
          <w:bCs/>
        </w:rPr>
      </w:pPr>
      <w:r>
        <w:rPr>
          <w:b w:val="0"/>
          <w:bCs/>
        </w:rPr>
        <w:t>Chapter 12 – Sewer Systems…………………………</w:t>
      </w:r>
      <w:r w:rsidR="0030101E">
        <w:rPr>
          <w:b w:val="0"/>
          <w:bCs/>
        </w:rPr>
        <w:t>…………………..39</w:t>
      </w:r>
    </w:p>
    <w:p w:rsidR="000556F0" w:rsidRDefault="000556F0">
      <w:pPr>
        <w:pStyle w:val="TOC1"/>
        <w:rPr>
          <w:b w:val="0"/>
          <w:bCs/>
        </w:rPr>
      </w:pPr>
      <w:r>
        <w:rPr>
          <w:b w:val="0"/>
          <w:bCs/>
        </w:rPr>
        <w:t>Chapter 13 – Schools……………………………………</w:t>
      </w:r>
      <w:r w:rsidR="0030101E">
        <w:rPr>
          <w:b w:val="0"/>
          <w:bCs/>
        </w:rPr>
        <w:t>…………………51</w:t>
      </w:r>
    </w:p>
    <w:p w:rsidR="000556F0" w:rsidRDefault="000556F0">
      <w:pPr>
        <w:pStyle w:val="TOC1"/>
        <w:rPr>
          <w:b w:val="0"/>
          <w:bCs/>
        </w:rPr>
      </w:pPr>
      <w:r>
        <w:rPr>
          <w:b w:val="0"/>
          <w:bCs/>
        </w:rPr>
        <w:t>Chapter 14 – Fire Protection……………………………</w:t>
      </w:r>
      <w:r w:rsidR="00FB094C">
        <w:rPr>
          <w:b w:val="0"/>
          <w:bCs/>
        </w:rPr>
        <w:t>………………....</w:t>
      </w:r>
      <w:r w:rsidR="0030101E">
        <w:rPr>
          <w:b w:val="0"/>
          <w:bCs/>
        </w:rPr>
        <w:t>59</w:t>
      </w:r>
    </w:p>
    <w:p w:rsidR="000556F0" w:rsidRDefault="000556F0">
      <w:pPr>
        <w:pStyle w:val="TOC1"/>
        <w:rPr>
          <w:b w:val="0"/>
          <w:bCs/>
        </w:rPr>
      </w:pPr>
      <w:r>
        <w:rPr>
          <w:b w:val="0"/>
          <w:bCs/>
        </w:rPr>
        <w:t>Chapter 15 – Solid Waste………………………………</w:t>
      </w:r>
      <w:r w:rsidR="00BA1726">
        <w:rPr>
          <w:b w:val="0"/>
          <w:bCs/>
        </w:rPr>
        <w:t>…………………</w:t>
      </w:r>
      <w:r w:rsidR="00FB094C">
        <w:rPr>
          <w:b w:val="0"/>
          <w:bCs/>
        </w:rPr>
        <w:t>.</w:t>
      </w:r>
      <w:r w:rsidR="0030101E">
        <w:rPr>
          <w:b w:val="0"/>
          <w:bCs/>
        </w:rPr>
        <w:t>66</w:t>
      </w:r>
    </w:p>
    <w:p w:rsidR="00395422" w:rsidRDefault="00112C1C">
      <w:pPr>
        <w:pStyle w:val="TOC1"/>
        <w:rPr>
          <w:b w:val="0"/>
          <w:bCs/>
        </w:rPr>
      </w:pPr>
      <w:r>
        <w:rPr>
          <w:b w:val="0"/>
          <w:bCs/>
        </w:rPr>
        <w:t>Chapter 16</w:t>
      </w:r>
      <w:r w:rsidRPr="00112C1C">
        <w:rPr>
          <w:b w:val="0"/>
          <w:bCs/>
        </w:rPr>
        <w:t xml:space="preserve"> </w:t>
      </w:r>
      <w:r w:rsidR="000556F0">
        <w:rPr>
          <w:b w:val="0"/>
          <w:bCs/>
        </w:rPr>
        <w:t>– County Revenue Projections……………</w:t>
      </w:r>
      <w:r w:rsidR="00BA1726">
        <w:rPr>
          <w:b w:val="0"/>
          <w:bCs/>
        </w:rPr>
        <w:t>………………</w:t>
      </w:r>
      <w:r w:rsidR="00FB094C">
        <w:rPr>
          <w:b w:val="0"/>
          <w:bCs/>
        </w:rPr>
        <w:t>…</w:t>
      </w:r>
      <w:r w:rsidR="0030101E">
        <w:rPr>
          <w:b w:val="0"/>
          <w:bCs/>
        </w:rPr>
        <w:t>69</w:t>
      </w:r>
    </w:p>
    <w:p w:rsidR="00824038" w:rsidRPr="00824038" w:rsidRDefault="00824038" w:rsidP="00824038"/>
    <w:p w:rsidR="000556F0" w:rsidRPr="000556F0" w:rsidRDefault="000556F0" w:rsidP="000556F0"/>
    <w:p w:rsidR="000556F0" w:rsidRPr="000556F0" w:rsidRDefault="000556F0" w:rsidP="000556F0"/>
    <w:p w:rsidR="00BA10D5" w:rsidRDefault="003F5BC7" w:rsidP="000556F0">
      <w:pPr>
        <w:pStyle w:val="TOC1"/>
        <w:rPr>
          <w:rFonts w:ascii="Calibri" w:hAnsi="Calibri"/>
          <w:b w:val="0"/>
          <w:color w:val="auto"/>
          <w:sz w:val="22"/>
          <w:szCs w:val="22"/>
        </w:rPr>
      </w:pPr>
      <w:r>
        <w:rPr>
          <w:b w:val="0"/>
          <w:bCs/>
        </w:rPr>
        <w:lastRenderedPageBreak/>
        <w:fldChar w:fldCharType="begin"/>
      </w:r>
      <w:r>
        <w:rPr>
          <w:b w:val="0"/>
          <w:bCs/>
        </w:rPr>
        <w:instrText xml:space="preserve"> TOC \o "2-3" \h \z \t "Heading 1,1" </w:instrText>
      </w:r>
      <w:r>
        <w:rPr>
          <w:b w:val="0"/>
          <w:bCs/>
        </w:rPr>
        <w:fldChar w:fldCharType="separate"/>
      </w:r>
    </w:p>
    <w:p w:rsidR="003F5BC7" w:rsidRDefault="003F5BC7" w:rsidP="000223A8">
      <w:pPr>
        <w:pStyle w:val="TOAHeading"/>
      </w:pPr>
      <w:r>
        <w:rPr>
          <w:rFonts w:cs="Times New Roman"/>
          <w:b/>
          <w:bCs w:val="0"/>
          <w:noProof/>
          <w:sz w:val="32"/>
          <w:szCs w:val="44"/>
        </w:rPr>
        <w:fldChar w:fldCharType="end"/>
      </w:r>
      <w:bookmarkStart w:id="0" w:name="_Toc245621794"/>
      <w:r w:rsidR="00395422">
        <w:t xml:space="preserve">Chapter 1 - </w:t>
      </w:r>
      <w:bookmarkEnd w:id="0"/>
      <w:r w:rsidR="00DF5202">
        <w:t>Introduction</w:t>
      </w:r>
    </w:p>
    <w:p w:rsidR="003F5BC7" w:rsidRDefault="00F1799D">
      <w:pPr>
        <w:pStyle w:val="BodyText"/>
      </w:pPr>
      <w:r>
        <w:t xml:space="preserve">Capital facilities, such as </w:t>
      </w:r>
      <w:r w:rsidR="00CA3161">
        <w:t xml:space="preserve">parks &amp; recreation facilities, </w:t>
      </w:r>
      <w:r>
        <w:t xml:space="preserve">County buildings, </w:t>
      </w:r>
      <w:r w:rsidR="00CA3161">
        <w:t xml:space="preserve">law enforcement &amp; criminal justice facilities, transportation, stormwater, water, sewer, </w:t>
      </w:r>
      <w:r>
        <w:t>school</w:t>
      </w:r>
      <w:r w:rsidR="00CA3161">
        <w:t>, and fire protection facilities</w:t>
      </w:r>
      <w:r>
        <w:t xml:space="preserve"> are important because they support the growth envisioned in the Whatcom County Comprehensive Plan. </w:t>
      </w:r>
      <w:r w:rsidR="003F5BC7">
        <w:t>Capital facilities generally have very long useful lives, significant costs, and are not mobile.</w:t>
      </w:r>
    </w:p>
    <w:p w:rsidR="00832CD3" w:rsidRDefault="003F5BC7">
      <w:pPr>
        <w:pStyle w:val="BodyText"/>
      </w:pPr>
      <w:r>
        <w:t>The focus of th</w:t>
      </w:r>
      <w:r w:rsidR="009F2B4F">
        <w:t xml:space="preserve">is </w:t>
      </w:r>
      <w:r w:rsidR="005819D7">
        <w:t>20-Year Capital Facilities Plan (</w:t>
      </w:r>
      <w:r w:rsidR="009F2B4F">
        <w:t>CFP</w:t>
      </w:r>
      <w:r w:rsidR="005819D7">
        <w:t>)</w:t>
      </w:r>
      <w:r w:rsidR="009F2B4F">
        <w:t xml:space="preserve"> is </w:t>
      </w:r>
      <w:r w:rsidR="005819D7">
        <w:t>support</w:t>
      </w:r>
      <w:r w:rsidR="00B56097">
        <w:t>ing</w:t>
      </w:r>
      <w:r w:rsidR="005819D7">
        <w:t xml:space="preserve"> the County’s review of urban growth areas and plan</w:t>
      </w:r>
      <w:r w:rsidR="00B56097">
        <w:t>ning</w:t>
      </w:r>
      <w:r w:rsidR="005D3D49">
        <w:t xml:space="preserve"> </w:t>
      </w:r>
      <w:r>
        <w:t>needed public facilities for the County’s</w:t>
      </w:r>
      <w:r w:rsidR="005819D7">
        <w:t xml:space="preserve"> population</w:t>
      </w:r>
      <w:r w:rsidR="007E6C3C">
        <w:t xml:space="preserve">. </w:t>
      </w:r>
      <w:r w:rsidR="002F1E9E">
        <w:t>County</w:t>
      </w:r>
      <w:r w:rsidR="005D3D49">
        <w:t xml:space="preserve"> </w:t>
      </w:r>
      <w:r w:rsidR="002F1E9E">
        <w:t>facility plans, city plans,</w:t>
      </w:r>
      <w:r w:rsidR="00824038">
        <w:t xml:space="preserve"> special district plans, </w:t>
      </w:r>
      <w:r w:rsidR="002F1E9E">
        <w:t xml:space="preserve">population, </w:t>
      </w:r>
      <w:r w:rsidR="00824038">
        <w:t xml:space="preserve">adopted level of service (LOS) standards </w:t>
      </w:r>
      <w:r w:rsidR="005D3D49">
        <w:t>and other demand indicators</w:t>
      </w:r>
      <w:r>
        <w:t xml:space="preserve"> </w:t>
      </w:r>
      <w:r w:rsidR="007E6C3C">
        <w:t>are</w:t>
      </w:r>
      <w:r>
        <w:t xml:space="preserve"> the principal </w:t>
      </w:r>
      <w:r w:rsidR="007E6C3C">
        <w:t>factors considered in</w:t>
      </w:r>
      <w:r>
        <w:t xml:space="preserve"> the CFP.</w:t>
      </w:r>
      <w:r w:rsidR="00F1799D">
        <w:t xml:space="preserve"> </w:t>
      </w:r>
      <w:r w:rsidR="00D445DC">
        <w:t>This CFP</w:t>
      </w:r>
      <w:r>
        <w:t xml:space="preserve"> </w:t>
      </w:r>
      <w:r w:rsidR="001636F2">
        <w:t>addresses both the six year period from</w:t>
      </w:r>
      <w:r>
        <w:t xml:space="preserve"> </w:t>
      </w:r>
      <w:r w:rsidR="00AD4A45">
        <w:t>2017-2022</w:t>
      </w:r>
      <w:r>
        <w:t xml:space="preserve"> </w:t>
      </w:r>
      <w:r w:rsidR="001636F2">
        <w:t>and, more generally, the seven to twenty year planning period from 2023-2036.</w:t>
      </w:r>
    </w:p>
    <w:p w:rsidR="007B0B0B" w:rsidRPr="000059F5" w:rsidRDefault="007B0B0B" w:rsidP="007B0B0B">
      <w:pPr>
        <w:pStyle w:val="Heading2"/>
        <w:rPr>
          <w:sz w:val="34"/>
          <w:szCs w:val="34"/>
        </w:rPr>
      </w:pPr>
      <w:bookmarkStart w:id="1" w:name="_Toc245621814"/>
      <w:r w:rsidRPr="000059F5">
        <w:rPr>
          <w:sz w:val="34"/>
          <w:szCs w:val="34"/>
        </w:rPr>
        <w:t>Growth Management Act</w:t>
      </w:r>
      <w:bookmarkEnd w:id="1"/>
    </w:p>
    <w:p w:rsidR="007B0B0B" w:rsidRDefault="002F1E9E" w:rsidP="007B0B0B">
      <w:pPr>
        <w:pStyle w:val="BodyText"/>
      </w:pPr>
      <w:r>
        <w:t>Growth Management Act (</w:t>
      </w:r>
      <w:r w:rsidR="007B0B0B">
        <w:t>GMA</w:t>
      </w:r>
      <w:r>
        <w:t>)</w:t>
      </w:r>
      <w:r w:rsidR="007B0B0B">
        <w:t xml:space="preserve"> Planning Goal # 12 is to: </w:t>
      </w:r>
    </w:p>
    <w:p w:rsidR="007B0B0B" w:rsidRDefault="007B0B0B" w:rsidP="007B0B0B">
      <w:pPr>
        <w:pStyle w:val="BodyText"/>
        <w:ind w:left="720"/>
      </w:pPr>
      <w:r w:rsidRPr="00F1799D">
        <w:t>Ensure that those public facilities and services necessary to support development shall be adequate to serve the development at the time the development is available for occupancy and use without decreasing current service levels below locall</w:t>
      </w:r>
      <w:r>
        <w:t>y established minimum standards (RCW 36.70A.020(12)).</w:t>
      </w:r>
    </w:p>
    <w:p w:rsidR="007B0B0B" w:rsidRDefault="007B0B0B" w:rsidP="007B0B0B">
      <w:pPr>
        <w:pStyle w:val="BodyText"/>
      </w:pPr>
      <w:r>
        <w:t xml:space="preserve">The CFP is required by the GMA under </w:t>
      </w:r>
      <w:r w:rsidRPr="009F2B4F">
        <w:t>RCW 36.70A.070</w:t>
      </w:r>
      <w:r>
        <w:t>. The GMA requir</w:t>
      </w:r>
      <w:r w:rsidR="005D3D49">
        <w:t xml:space="preserve">es the CFP to identify </w:t>
      </w:r>
      <w:r>
        <w:t>facilities, include a realistic financing plan, and make adjustment to the plan if funding is inadequate. Specifically, RCW 36.70A.070(3) requires the capital facilities plan to include:</w:t>
      </w:r>
    </w:p>
    <w:p w:rsidR="007B0B0B" w:rsidRDefault="007B0B0B" w:rsidP="007B0B0B">
      <w:pPr>
        <w:pStyle w:val="BodyText"/>
        <w:ind w:left="720"/>
      </w:pPr>
      <w:r w:rsidRPr="00832CD3">
        <w:t xml:space="preserve">(a) An inventory of existing capital facilities owned by public entities, showing the locations and capacities of the capital facilities; </w:t>
      </w:r>
    </w:p>
    <w:p w:rsidR="007B0B0B" w:rsidRDefault="007B0B0B" w:rsidP="007B0B0B">
      <w:pPr>
        <w:pStyle w:val="BodyText"/>
        <w:ind w:left="720"/>
      </w:pPr>
      <w:r w:rsidRPr="00832CD3">
        <w:t xml:space="preserve">(b) a forecast of the future needs for such capital facilities; </w:t>
      </w:r>
    </w:p>
    <w:p w:rsidR="007B0B0B" w:rsidRDefault="007B0B0B" w:rsidP="007B0B0B">
      <w:pPr>
        <w:pStyle w:val="BodyText"/>
        <w:ind w:left="720"/>
      </w:pPr>
      <w:r w:rsidRPr="00832CD3">
        <w:t xml:space="preserve">(c) the proposed locations and capacities of expanded or new capital facilities; </w:t>
      </w:r>
    </w:p>
    <w:p w:rsidR="007B0B0B" w:rsidRDefault="007B0B0B" w:rsidP="007B0B0B">
      <w:pPr>
        <w:pStyle w:val="BodyText"/>
        <w:ind w:left="720"/>
      </w:pPr>
      <w:r w:rsidRPr="00832CD3">
        <w:t xml:space="preserve">(d) at least a six-year plan that will finance such capital facilities within projected funding capacities and clearly identifies sources of public money for such purposes; and </w:t>
      </w:r>
    </w:p>
    <w:p w:rsidR="007B0B0B" w:rsidRDefault="007B0B0B" w:rsidP="007B0B0B">
      <w:pPr>
        <w:pStyle w:val="BodyText"/>
        <w:ind w:left="720"/>
      </w:pPr>
      <w:r w:rsidRPr="00832CD3">
        <w:t>(e) a requirement to reassess the land use element if probable funding falls short of meeting existing needs and to ensure that the land use element, capital facilities plan element, and financing plan within the capital facilities plan element are coordinated and consistent.</w:t>
      </w:r>
    </w:p>
    <w:p w:rsidR="003F5BC7" w:rsidRPr="000059F5" w:rsidRDefault="009F2B4F">
      <w:pPr>
        <w:pStyle w:val="Heading2"/>
        <w:rPr>
          <w:sz w:val="34"/>
          <w:szCs w:val="34"/>
        </w:rPr>
      </w:pPr>
      <w:bookmarkStart w:id="2" w:name="_Toc245621813"/>
      <w:r>
        <w:rPr>
          <w:sz w:val="34"/>
          <w:szCs w:val="34"/>
        </w:rPr>
        <w:lastRenderedPageBreak/>
        <w:t>CFP</w:t>
      </w:r>
      <w:r w:rsidR="003F5BC7" w:rsidRPr="000059F5">
        <w:rPr>
          <w:sz w:val="34"/>
          <w:szCs w:val="34"/>
        </w:rPr>
        <w:t xml:space="preserve"> Purpose</w:t>
      </w:r>
      <w:bookmarkEnd w:id="2"/>
    </w:p>
    <w:p w:rsidR="00EB5069" w:rsidRDefault="003F5BC7">
      <w:pPr>
        <w:pStyle w:val="BodyText"/>
      </w:pPr>
      <w:r>
        <w:t xml:space="preserve">In </w:t>
      </w:r>
      <w:r w:rsidR="00832CD3">
        <w:t>2016</w:t>
      </w:r>
      <w:r>
        <w:t xml:space="preserve">, the County </w:t>
      </w:r>
      <w:r w:rsidR="00832CD3">
        <w:t>completed</w:t>
      </w:r>
      <w:r w:rsidR="00824038">
        <w:t xml:space="preserve"> the required urban growth area (UGA) r</w:t>
      </w:r>
      <w:r>
        <w:t xml:space="preserve">eview </w:t>
      </w:r>
      <w:r w:rsidR="00DE1E49">
        <w:t>in which</w:t>
      </w:r>
      <w:r>
        <w:t xml:space="preserve"> the County consider</w:t>
      </w:r>
      <w:r w:rsidR="00D008FD">
        <w:t>ed</w:t>
      </w:r>
      <w:r>
        <w:t xml:space="preserve"> growth forecasts and allocations, urban growth boundaries, and comprehensi</w:t>
      </w:r>
      <w:r w:rsidR="009F2B4F">
        <w:t xml:space="preserve">ve plan </w:t>
      </w:r>
      <w:r w:rsidR="00105BFF">
        <w:t>designations</w:t>
      </w:r>
      <w:r>
        <w:t>.</w:t>
      </w:r>
      <w:r w:rsidR="00886560">
        <w:t xml:space="preserve"> </w:t>
      </w:r>
      <w:r w:rsidR="00D445DC">
        <w:t xml:space="preserve"> Projected</w:t>
      </w:r>
      <w:r w:rsidR="009C3B80" w:rsidRPr="00F86D17">
        <w:t xml:space="preserve"> population and employment growth to </w:t>
      </w:r>
      <w:r w:rsidR="00832CD3">
        <w:t>2036</w:t>
      </w:r>
      <w:r w:rsidR="001F09CC" w:rsidRPr="00F86D17">
        <w:t xml:space="preserve"> </w:t>
      </w:r>
      <w:r w:rsidR="009C3B80" w:rsidRPr="00F86D17">
        <w:t xml:space="preserve">is </w:t>
      </w:r>
      <w:r w:rsidR="00313DCB">
        <w:t xml:space="preserve">a </w:t>
      </w:r>
      <w:r w:rsidR="00D008FD">
        <w:t xml:space="preserve">key assumption </w:t>
      </w:r>
      <w:r w:rsidR="009C3B80" w:rsidRPr="00F86D17">
        <w:t>of this CFP.</w:t>
      </w:r>
      <w:r w:rsidR="007302AB">
        <w:t xml:space="preserve">  </w:t>
      </w:r>
      <w:r>
        <w:t xml:space="preserve">The purpose of the CFP is to </w:t>
      </w:r>
      <w:r w:rsidR="009F2B4F">
        <w:t>plan</w:t>
      </w:r>
      <w:r>
        <w:t xml:space="preserve"> adequate public facilities consistent with the </w:t>
      </w:r>
      <w:r w:rsidR="001636F2">
        <w:t xml:space="preserve">Comprehensive Plan’s </w:t>
      </w:r>
      <w:r>
        <w:t>land use element</w:t>
      </w:r>
      <w:r w:rsidR="00D445DC">
        <w:t>, including UGA planning</w:t>
      </w:r>
      <w:r w:rsidR="001636F2">
        <w:t>.</w:t>
      </w:r>
    </w:p>
    <w:p w:rsidR="007B0B0B" w:rsidRPr="000059F5" w:rsidRDefault="007B0B0B" w:rsidP="007B0B0B">
      <w:pPr>
        <w:pStyle w:val="Heading2"/>
        <w:rPr>
          <w:sz w:val="34"/>
          <w:szCs w:val="34"/>
        </w:rPr>
      </w:pPr>
      <w:bookmarkStart w:id="3" w:name="_Toc245621817"/>
      <w:r>
        <w:rPr>
          <w:sz w:val="34"/>
          <w:szCs w:val="34"/>
        </w:rPr>
        <w:t xml:space="preserve">CFP </w:t>
      </w:r>
      <w:r w:rsidRPr="000059F5">
        <w:rPr>
          <w:sz w:val="34"/>
          <w:szCs w:val="34"/>
        </w:rPr>
        <w:t>Assumptions</w:t>
      </w:r>
      <w:bookmarkEnd w:id="3"/>
    </w:p>
    <w:p w:rsidR="007B0B0B" w:rsidRDefault="007B0B0B" w:rsidP="007B0B0B">
      <w:pPr>
        <w:pStyle w:val="BodyText"/>
      </w:pPr>
      <w:r>
        <w:t>This CFP is based on the following sources of information and assumptions:</w:t>
      </w:r>
    </w:p>
    <w:p w:rsidR="007302AB" w:rsidRPr="007302AB" w:rsidRDefault="007302AB" w:rsidP="007B0B0B">
      <w:pPr>
        <w:pStyle w:val="ListBullet"/>
        <w:rPr>
          <w:rStyle w:val="Emphasis"/>
          <w:rFonts w:ascii="Times New Roman" w:hAnsi="Times New Roman"/>
          <w:b w:val="0"/>
          <w:iCs w:val="0"/>
          <w:color w:val="auto"/>
          <w:sz w:val="22"/>
        </w:rPr>
      </w:pPr>
      <w:r>
        <w:rPr>
          <w:rStyle w:val="Emphasis"/>
        </w:rPr>
        <w:t>County Facility Plans:</w:t>
      </w:r>
      <w:r>
        <w:t xml:space="preserve"> The County updates the </w:t>
      </w:r>
      <w:r w:rsidRPr="00652A89">
        <w:rPr>
          <w:i/>
        </w:rPr>
        <w:t>Six-Year Capital Improvement Program for Whatcom County Facilities</w:t>
      </w:r>
      <w:r>
        <w:t xml:space="preserve"> every </w:t>
      </w:r>
      <w:r w:rsidR="00C328EC">
        <w:t xml:space="preserve">other year and </w:t>
      </w:r>
      <w:r>
        <w:t xml:space="preserve">this six-year plan </w:t>
      </w:r>
      <w:r w:rsidR="00C328EC">
        <w:t>informs the 20-Year CFP.  The County updates this 20-Year CFP</w:t>
      </w:r>
      <w:r w:rsidR="00C81E44">
        <w:t xml:space="preserve">, which also includes information relating to capital improvements in years 7-20, </w:t>
      </w:r>
      <w:r w:rsidR="00C328EC">
        <w:t>at least every eight years at the state-required periodic update of the Comprehensive Plan</w:t>
      </w:r>
      <w:r w:rsidR="00C81E44">
        <w:t>.</w:t>
      </w:r>
      <w:r w:rsidR="00C328EC">
        <w:t xml:space="preserve"> </w:t>
      </w:r>
    </w:p>
    <w:p w:rsidR="007B0B0B" w:rsidRDefault="007B0B0B" w:rsidP="007B0B0B">
      <w:pPr>
        <w:pStyle w:val="ListBullet"/>
      </w:pPr>
      <w:r>
        <w:rPr>
          <w:rStyle w:val="Emphasis"/>
        </w:rPr>
        <w:t>Service Provider Plans:</w:t>
      </w:r>
      <w:r>
        <w:t xml:space="preserve"> The capital plans of </w:t>
      </w:r>
      <w:r w:rsidR="00B157C7">
        <w:t xml:space="preserve">cities, special purpose districts, and other </w:t>
      </w:r>
      <w:r>
        <w:t>service providers, particularly those serving UGAs, were collected and reviewed including inventories, forecast of future needs, planned facilities, growth forecasts, and potential funding.</w:t>
      </w:r>
    </w:p>
    <w:p w:rsidR="007B0B0B" w:rsidRDefault="007B0B0B" w:rsidP="007B0B0B">
      <w:pPr>
        <w:pStyle w:val="ListBullet"/>
      </w:pPr>
      <w:r>
        <w:rPr>
          <w:rStyle w:val="Emphasis"/>
        </w:rPr>
        <w:t>Growth Forecasts:</w:t>
      </w:r>
      <w:r>
        <w:t xml:space="preserve"> Forecasts of population and job growth were allocated to each UGA and the rural areas. The 2013 population and employment and the 2036 growth for each capital facility service provider were then estimated by special district boundary. </w:t>
      </w:r>
    </w:p>
    <w:p w:rsidR="007B0B0B" w:rsidRDefault="007B0B0B" w:rsidP="007B0B0B">
      <w:pPr>
        <w:pStyle w:val="ListBullet"/>
      </w:pPr>
      <w:r>
        <w:rPr>
          <w:rStyle w:val="Emphasis"/>
        </w:rPr>
        <w:t>Revenue Forecasts:</w:t>
      </w:r>
      <w:r>
        <w:t xml:space="preserve"> Forecasts of revenues for County facilities were prepared out to t</w:t>
      </w:r>
      <w:r w:rsidR="00613DB5">
        <w:t>he 2036 horizon year (Chapter 16</w:t>
      </w:r>
      <w:r>
        <w:t>). The revenue sou</w:t>
      </w:r>
      <w:r w:rsidR="00C70003">
        <w:t>rces for city</w:t>
      </w:r>
      <w:r>
        <w:t xml:space="preserve"> and special district service providers are summarized from available plans.</w:t>
      </w:r>
    </w:p>
    <w:p w:rsidR="00F1799D" w:rsidRPr="000059F5" w:rsidRDefault="00F1799D">
      <w:pPr>
        <w:pStyle w:val="Heading1"/>
        <w:rPr>
          <w:b/>
          <w:sz w:val="34"/>
          <w:szCs w:val="34"/>
        </w:rPr>
      </w:pPr>
      <w:bookmarkStart w:id="4" w:name="_Toc245621815"/>
      <w:r w:rsidRPr="000059F5">
        <w:rPr>
          <w:b/>
          <w:sz w:val="34"/>
          <w:szCs w:val="34"/>
        </w:rPr>
        <w:t xml:space="preserve">Special </w:t>
      </w:r>
      <w:r w:rsidR="00241E8C" w:rsidRPr="000059F5">
        <w:rPr>
          <w:b/>
          <w:sz w:val="34"/>
          <w:szCs w:val="34"/>
        </w:rPr>
        <w:t xml:space="preserve">Purpose </w:t>
      </w:r>
      <w:r w:rsidRPr="000059F5">
        <w:rPr>
          <w:b/>
          <w:sz w:val="34"/>
          <w:szCs w:val="34"/>
        </w:rPr>
        <w:t>District Plans</w:t>
      </w:r>
    </w:p>
    <w:p w:rsidR="00F1799D" w:rsidRDefault="009F2B4F" w:rsidP="00F1799D">
      <w:pPr>
        <w:pStyle w:val="BodyText"/>
      </w:pPr>
      <w:r>
        <w:t>Special purpose districts</w:t>
      </w:r>
      <w:r w:rsidR="00F1799D">
        <w:t xml:space="preserve"> provide a number of facilities addressed by this CFP, including water, sewer, </w:t>
      </w:r>
      <w:r>
        <w:t xml:space="preserve">schools, and </w:t>
      </w:r>
      <w:r w:rsidR="00F1799D">
        <w:t xml:space="preserve">fire protection.  Some of these special districts have prepared their own capital plans that provide information </w:t>
      </w:r>
      <w:r w:rsidR="00C70003">
        <w:t>for these facilities</w:t>
      </w:r>
      <w:r w:rsidR="00F1799D">
        <w:t>.  Specifically,</w:t>
      </w:r>
      <w:r w:rsidR="00241E8C">
        <w:t xml:space="preserve"> with regard to special purpose district plans,</w:t>
      </w:r>
      <w:r w:rsidR="00F1799D">
        <w:t xml:space="preserve"> Washington</w:t>
      </w:r>
      <w:r w:rsidR="00C70003">
        <w:t xml:space="preserve"> Administrative Code </w:t>
      </w:r>
      <w:r w:rsidR="00F1799D">
        <w:t xml:space="preserve">365-196-415(4) indicates that the County </w:t>
      </w:r>
      <w:r w:rsidR="00241E8C">
        <w:t>should:</w:t>
      </w:r>
    </w:p>
    <w:p w:rsidR="00241E8C" w:rsidRPr="00241E8C" w:rsidRDefault="00241E8C" w:rsidP="00241E8C">
      <w:pPr>
        <w:pStyle w:val="BodyText"/>
        <w:ind w:firstLine="720"/>
      </w:pPr>
      <w:r>
        <w:t>(a) Summarize the</w:t>
      </w:r>
      <w:r w:rsidRPr="00241E8C">
        <w:t xml:space="preserve"> information within the capital facilities element;</w:t>
      </w:r>
    </w:p>
    <w:p w:rsidR="00241E8C" w:rsidRPr="00241E8C" w:rsidRDefault="00241E8C" w:rsidP="00241E8C">
      <w:pPr>
        <w:pStyle w:val="BodyText"/>
        <w:ind w:left="720"/>
      </w:pPr>
      <w:r w:rsidRPr="00241E8C">
        <w:t>(b) Synthesize the information from the various providers to show that the actions, taken together, provide adequate public facilities; and</w:t>
      </w:r>
    </w:p>
    <w:p w:rsidR="00241E8C" w:rsidRPr="00241E8C" w:rsidRDefault="00241E8C" w:rsidP="00241E8C">
      <w:pPr>
        <w:pStyle w:val="BodyText"/>
        <w:ind w:left="720"/>
      </w:pPr>
      <w:r w:rsidRPr="00241E8C">
        <w:t>(c) Conclude that the capital facilities element shows how the area will be provided with adequate public facilities.</w:t>
      </w:r>
    </w:p>
    <w:p w:rsidR="00F1799D" w:rsidRPr="00F1799D" w:rsidRDefault="00241E8C" w:rsidP="00F1799D">
      <w:pPr>
        <w:pStyle w:val="BodyText"/>
      </w:pPr>
      <w:r>
        <w:lastRenderedPageBreak/>
        <w:t>Special districts play an important role in supporting the County’s land use plans.  Information from special district plans, when available, has been summarized in this CFP.</w:t>
      </w:r>
    </w:p>
    <w:p w:rsidR="003F5BC7" w:rsidRPr="000059F5" w:rsidRDefault="003F5BC7">
      <w:pPr>
        <w:pStyle w:val="Heading1"/>
        <w:rPr>
          <w:b/>
          <w:sz w:val="34"/>
          <w:szCs w:val="34"/>
        </w:rPr>
      </w:pPr>
      <w:r w:rsidRPr="000059F5">
        <w:rPr>
          <w:b/>
          <w:sz w:val="34"/>
          <w:szCs w:val="34"/>
        </w:rPr>
        <w:t>C</w:t>
      </w:r>
      <w:bookmarkEnd w:id="4"/>
      <w:r w:rsidR="00241E8C" w:rsidRPr="000059F5">
        <w:rPr>
          <w:b/>
          <w:sz w:val="34"/>
          <w:szCs w:val="34"/>
        </w:rPr>
        <w:t>FP Organization</w:t>
      </w:r>
    </w:p>
    <w:p w:rsidR="003F5BC7" w:rsidRDefault="003F5BC7">
      <w:pPr>
        <w:pStyle w:val="BodyText"/>
      </w:pPr>
      <w:r>
        <w:t xml:space="preserve">The CFP </w:t>
      </w:r>
      <w:r w:rsidR="00241E8C">
        <w:t>contains the i</w:t>
      </w:r>
      <w:r w:rsidR="00D56565">
        <w:t>nventory of existing facilities and</w:t>
      </w:r>
      <w:r w:rsidR="00241E8C">
        <w:t xml:space="preserve"> </w:t>
      </w:r>
      <w:r>
        <w:t xml:space="preserve">presents </w:t>
      </w:r>
      <w:r w:rsidR="00241E8C">
        <w:t xml:space="preserve">a summary of </w:t>
      </w:r>
      <w:r w:rsidR="00D56565">
        <w:t xml:space="preserve">capital improvement projects and financing </w:t>
      </w:r>
      <w:r>
        <w:t>to pay for these projects.</w:t>
      </w:r>
      <w:r w:rsidR="00886560">
        <w:t xml:space="preserve"> </w:t>
      </w:r>
    </w:p>
    <w:p w:rsidR="003F5BC7" w:rsidRDefault="003F5BC7">
      <w:pPr>
        <w:pStyle w:val="BodyText"/>
      </w:pPr>
      <w:r>
        <w:t>Each type of public facility is pr</w:t>
      </w:r>
      <w:r w:rsidR="00CA3161">
        <w:t>esented in a separate chapter</w:t>
      </w:r>
      <w:r>
        <w:t xml:space="preserve">, which </w:t>
      </w:r>
      <w:r w:rsidR="00241E8C">
        <w:t xml:space="preserve">generally follows the </w:t>
      </w:r>
      <w:r>
        <w:t>format</w:t>
      </w:r>
      <w:r w:rsidR="00241E8C">
        <w:t xml:space="preserve"> shown below</w:t>
      </w:r>
      <w:r>
        <w:t>.</w:t>
      </w:r>
    </w:p>
    <w:p w:rsidR="003F5BC7" w:rsidRDefault="003F5BC7">
      <w:pPr>
        <w:pStyle w:val="ListBullet"/>
      </w:pPr>
      <w:r>
        <w:rPr>
          <w:rStyle w:val="Emphasis"/>
        </w:rPr>
        <w:t xml:space="preserve">Inventory of Current Facilities: </w:t>
      </w:r>
      <w:r w:rsidR="00CA3161">
        <w:t>A summary</w:t>
      </w:r>
      <w:r>
        <w:t xml:space="preserve"> of existin</w:t>
      </w:r>
      <w:r w:rsidR="00D56565">
        <w:t>g capital facilities</w:t>
      </w:r>
      <w:r>
        <w:t>.</w:t>
      </w:r>
    </w:p>
    <w:p w:rsidR="003F5BC7" w:rsidRDefault="00C92A63">
      <w:pPr>
        <w:pStyle w:val="ListBullet"/>
      </w:pPr>
      <w:r>
        <w:rPr>
          <w:rStyle w:val="Emphasis"/>
        </w:rPr>
        <w:t>Forecast of Future Needs</w:t>
      </w:r>
      <w:r w:rsidR="003F5BC7">
        <w:rPr>
          <w:rStyle w:val="Emphasis"/>
        </w:rPr>
        <w:t>:</w:t>
      </w:r>
      <w:r w:rsidR="003F5BC7">
        <w:t xml:space="preserve"> A </w:t>
      </w:r>
      <w:r>
        <w:t xml:space="preserve">forecast of future capital facility needs, which may include review of </w:t>
      </w:r>
      <w:r w:rsidR="003F5BC7">
        <w:t xml:space="preserve">the County or service provider </w:t>
      </w:r>
      <w:r w:rsidR="00D56565">
        <w:t>level of service (</w:t>
      </w:r>
      <w:r w:rsidR="003F5BC7">
        <w:t>LOS</w:t>
      </w:r>
      <w:r w:rsidR="00D56565">
        <w:t>) or design</w:t>
      </w:r>
      <w:r w:rsidR="003F5BC7">
        <w:t xml:space="preserve"> standards</w:t>
      </w:r>
      <w:r w:rsidR="00824038">
        <w:t xml:space="preserve"> if applicable</w:t>
      </w:r>
      <w:r>
        <w:t>,</w:t>
      </w:r>
      <w:r w:rsidR="003F5BC7">
        <w:t xml:space="preserve"> is presented for each type of public facility.</w:t>
      </w:r>
      <w:r w:rsidR="00886560">
        <w:t xml:space="preserve"> </w:t>
      </w:r>
    </w:p>
    <w:p w:rsidR="003F5BC7" w:rsidRDefault="003F5BC7">
      <w:pPr>
        <w:pStyle w:val="ListBullet"/>
      </w:pPr>
      <w:r>
        <w:rPr>
          <w:rStyle w:val="Emphasis"/>
        </w:rPr>
        <w:t>Cap</w:t>
      </w:r>
      <w:r w:rsidR="00D56565">
        <w:rPr>
          <w:rStyle w:val="Emphasis"/>
        </w:rPr>
        <w:t>ital Projects and Funding</w:t>
      </w:r>
      <w:r>
        <w:rPr>
          <w:rStyle w:val="Emphasis"/>
        </w:rPr>
        <w:t>:</w:t>
      </w:r>
      <w:r w:rsidR="005D3D49">
        <w:t xml:space="preserve"> A summary of</w:t>
      </w:r>
      <w:r>
        <w:t xml:space="preserve"> capital improvements </w:t>
      </w:r>
      <w:r w:rsidR="00241E8C">
        <w:t xml:space="preserve">proposed through </w:t>
      </w:r>
      <w:r>
        <w:t>the planning period.</w:t>
      </w:r>
      <w:r w:rsidR="00886560">
        <w:t xml:space="preserve"> </w:t>
      </w:r>
      <w:r>
        <w:t>A more deta</w:t>
      </w:r>
      <w:r w:rsidR="00D56565">
        <w:t xml:space="preserve">iled </w:t>
      </w:r>
      <w:r w:rsidR="00CA3161">
        <w:t>plan for County</w:t>
      </w:r>
      <w:r>
        <w:t xml:space="preserve"> facilities </w:t>
      </w:r>
      <w:r w:rsidR="00CA3161">
        <w:t xml:space="preserve">is provided </w:t>
      </w:r>
      <w:r>
        <w:t>in</w:t>
      </w:r>
      <w:r w:rsidR="00CA3161">
        <w:t xml:space="preserve"> the</w:t>
      </w:r>
      <w:r>
        <w:t xml:space="preserve"> </w:t>
      </w:r>
      <w:r w:rsidR="00652A89" w:rsidRPr="00652A89">
        <w:rPr>
          <w:i/>
        </w:rPr>
        <w:t>Six-Year Capital Improvement Program for Whatcom County Facilities 2017-2022</w:t>
      </w:r>
      <w:r w:rsidR="00D56565">
        <w:t>, while generalized</w:t>
      </w:r>
      <w:r>
        <w:t xml:space="preserve"> </w:t>
      </w:r>
      <w:r w:rsidR="005D3D49">
        <w:t xml:space="preserve">County </w:t>
      </w:r>
      <w:r w:rsidR="00D56565">
        <w:t xml:space="preserve">capital improvements and </w:t>
      </w:r>
      <w:r>
        <w:t>funding for the remainder of the planning period (</w:t>
      </w:r>
      <w:r w:rsidR="00C92A63">
        <w:t>2023-2036</w:t>
      </w:r>
      <w:r>
        <w:t>)</w:t>
      </w:r>
      <w:r w:rsidR="005D3D49">
        <w:t xml:space="preserve"> are identified in this 20-year CFP</w:t>
      </w:r>
      <w:r>
        <w:t>. For non-County providers, capital project</w:t>
      </w:r>
      <w:r w:rsidR="002C1F96">
        <w:t>s</w:t>
      </w:r>
      <w:r>
        <w:t xml:space="preserve"> identified in the service providers’ most recent plans</w:t>
      </w:r>
      <w:r w:rsidR="00D56565">
        <w:t xml:space="preserve"> are summarized</w:t>
      </w:r>
      <w:r>
        <w:t>.</w:t>
      </w:r>
    </w:p>
    <w:p w:rsidR="005D71BD" w:rsidRDefault="005D71BD" w:rsidP="005D71BD">
      <w:pPr>
        <w:pStyle w:val="ListBullet"/>
        <w:numPr>
          <w:ilvl w:val="0"/>
          <w:numId w:val="0"/>
        </w:numPr>
        <w:ind w:left="360" w:hanging="360"/>
      </w:pPr>
    </w:p>
    <w:p w:rsidR="005D71BD" w:rsidRDefault="005D71BD" w:rsidP="005D71BD">
      <w:pPr>
        <w:pStyle w:val="ListBullet"/>
        <w:numPr>
          <w:ilvl w:val="0"/>
          <w:numId w:val="0"/>
        </w:numPr>
        <w:ind w:left="360" w:hanging="360"/>
      </w:pPr>
    </w:p>
    <w:p w:rsidR="0084675A" w:rsidRDefault="0084675A" w:rsidP="0084675A">
      <w:pPr>
        <w:pStyle w:val="BodyText"/>
      </w:pPr>
    </w:p>
    <w:p w:rsidR="003623E3" w:rsidRDefault="003623E3"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Default="000059F5" w:rsidP="0084675A">
      <w:pPr>
        <w:pStyle w:val="BodyText"/>
      </w:pPr>
    </w:p>
    <w:p w:rsidR="000059F5" w:rsidRPr="0084675A" w:rsidRDefault="000059F5" w:rsidP="0084675A">
      <w:pPr>
        <w:pStyle w:val="BodyText"/>
      </w:pPr>
    </w:p>
    <w:p w:rsidR="0072427E" w:rsidRDefault="0072427E" w:rsidP="00241E8C">
      <w:pPr>
        <w:pStyle w:val="TOAHeading"/>
      </w:pPr>
      <w:r>
        <w:lastRenderedPageBreak/>
        <w:t>Chapter 2 – Par</w:t>
      </w:r>
      <w:r w:rsidR="00241E8C">
        <w:t>ks, Trails and Activity Centers</w:t>
      </w:r>
    </w:p>
    <w:p w:rsidR="0072427E" w:rsidRPr="00632943" w:rsidRDefault="009A245A" w:rsidP="0072427E">
      <w:pPr>
        <w:pStyle w:val="BodyText"/>
        <w:rPr>
          <w:lang w:val="en"/>
        </w:rPr>
      </w:pPr>
      <w:r>
        <w:rPr>
          <w:lang w:val="en"/>
        </w:rPr>
        <w:t xml:space="preserve">The </w:t>
      </w:r>
      <w:r w:rsidR="00632943">
        <w:rPr>
          <w:lang w:val="en"/>
        </w:rPr>
        <w:t xml:space="preserve">Whatcom County </w:t>
      </w:r>
      <w:r w:rsidR="00632943" w:rsidRPr="00632943">
        <w:rPr>
          <w:lang w:val="en"/>
        </w:rPr>
        <w:t xml:space="preserve">Parks and Recreation Department </w:t>
      </w:r>
      <w:r w:rsidR="00632943">
        <w:rPr>
          <w:lang w:val="en"/>
        </w:rPr>
        <w:t xml:space="preserve">mission statement </w:t>
      </w:r>
      <w:r w:rsidR="00632943" w:rsidRPr="00632943">
        <w:rPr>
          <w:lang w:val="en"/>
        </w:rPr>
        <w:t xml:space="preserve">is to enrich the quality of life for the community and preserve the natural and cultural heritage of the County through provision of outstanding parks and trails, open space and natural areas, as well as recreational activities and </w:t>
      </w:r>
      <w:r w:rsidR="00D56565">
        <w:rPr>
          <w:lang w:val="en"/>
        </w:rPr>
        <w:t>senior s</w:t>
      </w:r>
      <w:r w:rsidR="00632943" w:rsidRPr="00632943">
        <w:rPr>
          <w:lang w:val="en"/>
        </w:rPr>
        <w:t>ervices</w:t>
      </w:r>
      <w:r w:rsidR="00632943">
        <w:rPr>
          <w:lang w:val="en"/>
        </w:rPr>
        <w:t xml:space="preserve">.  Whatcom County government accomplishes this mission by providing a variety of </w:t>
      </w:r>
      <w:r>
        <w:rPr>
          <w:lang w:val="en"/>
        </w:rPr>
        <w:t>recreational facilities,</w:t>
      </w:r>
      <w:r w:rsidR="00632943">
        <w:rPr>
          <w:lang w:val="en"/>
        </w:rPr>
        <w:t xml:space="preserve"> services and programs to residents and visitors.</w:t>
      </w:r>
      <w:r w:rsidR="0072427E">
        <w:t xml:space="preserve"> </w:t>
      </w:r>
    </w:p>
    <w:p w:rsidR="0072427E" w:rsidRDefault="00632943" w:rsidP="0072427E">
      <w:pPr>
        <w:pStyle w:val="BodyText"/>
      </w:pPr>
      <w:r>
        <w:t>In addi</w:t>
      </w:r>
      <w:r w:rsidR="009A245A">
        <w:t xml:space="preserve">tion, there are </w:t>
      </w:r>
      <w:r>
        <w:t>three</w:t>
      </w:r>
      <w:r w:rsidR="0072427E">
        <w:t xml:space="preserve"> special parks districts </w:t>
      </w:r>
      <w:r w:rsidR="009A245A">
        <w:t>that include land in unincorporated portions of the</w:t>
      </w:r>
      <w:r w:rsidR="0072427E">
        <w:t xml:space="preserve"> County. These parks and recreation districts are presented after County facilities.</w:t>
      </w:r>
    </w:p>
    <w:p w:rsidR="0072427E" w:rsidRDefault="0072427E" w:rsidP="0072427E">
      <w:pPr>
        <w:pStyle w:val="Heading3"/>
      </w:pPr>
      <w:bookmarkStart w:id="5" w:name="_Toc245621840"/>
      <w:r>
        <w:t>Inventory of Current Facilities</w:t>
      </w:r>
      <w:bookmarkEnd w:id="5"/>
      <w:r w:rsidR="00C559DA">
        <w:t xml:space="preserve"> – County Facilities</w:t>
      </w:r>
    </w:p>
    <w:p w:rsidR="0072427E" w:rsidRDefault="00711C60" w:rsidP="0072427E">
      <w:pPr>
        <w:pStyle w:val="Heading4"/>
      </w:pPr>
      <w:r>
        <w:t xml:space="preserve">County </w:t>
      </w:r>
      <w:r w:rsidR="0072427E">
        <w:t>Parks</w:t>
      </w:r>
      <w:r>
        <w:t>, Trails and Activity Centers</w:t>
      </w:r>
    </w:p>
    <w:p w:rsidR="00C42499" w:rsidRDefault="00C42499" w:rsidP="00C42499">
      <w:pPr>
        <w:pStyle w:val="BodyText"/>
      </w:pPr>
      <w:r>
        <w:t>The 2016 inventory of</w:t>
      </w:r>
      <w:r w:rsidR="00C559DA">
        <w:t xml:space="preserve"> Whatcom</w:t>
      </w:r>
      <w:r>
        <w:t xml:space="preserve"> County rec</w:t>
      </w:r>
      <w:r w:rsidR="00F575C0">
        <w:t>reation facilities includes approximately</w:t>
      </w:r>
      <w:r>
        <w:t xml:space="preserve"> 14,700 acres of</w:t>
      </w:r>
      <w:r w:rsidR="00F575C0">
        <w:t xml:space="preserve"> park and open space area, </w:t>
      </w:r>
      <w:r>
        <w:t xml:space="preserve">65 miles of trails, and 13 activity centers, as shown in more detail in the </w:t>
      </w:r>
      <w:r w:rsidRPr="00F575C0">
        <w:rPr>
          <w:i/>
        </w:rPr>
        <w:t>Six-Year Capital Improvement Program for Whatcom County Facilities</w:t>
      </w:r>
      <w:r>
        <w:t>.</w:t>
      </w:r>
    </w:p>
    <w:p w:rsidR="00EB5069" w:rsidRDefault="00C42499" w:rsidP="00EB5069">
      <w:pPr>
        <w:pStyle w:val="Heading3"/>
      </w:pPr>
      <w:bookmarkStart w:id="6" w:name="_Toc245621841"/>
      <w:r>
        <w:t>Future Needs</w:t>
      </w:r>
      <w:bookmarkEnd w:id="6"/>
      <w:r w:rsidR="00C559DA">
        <w:t xml:space="preserve"> – County Facilities</w:t>
      </w:r>
    </w:p>
    <w:p w:rsidR="00EB5069" w:rsidRDefault="00EB5069" w:rsidP="00EB5069">
      <w:pPr>
        <w:pStyle w:val="BodyText"/>
      </w:pPr>
      <w:r>
        <w:t>Whatcom County Co</w:t>
      </w:r>
      <w:r w:rsidR="00C42499">
        <w:t>mprehensive Plan</w:t>
      </w:r>
      <w:r w:rsidR="00F575C0">
        <w:t xml:space="preserve"> Policy 4F-1 (in Chapter 4)</w:t>
      </w:r>
      <w:r w:rsidR="00C42499">
        <w:t xml:space="preserve"> establishes level of service</w:t>
      </w:r>
      <w:r>
        <w:t xml:space="preserve"> standards for developed parks and trails</w:t>
      </w:r>
      <w:r w:rsidR="00F575C0">
        <w:t>, as shown below</w:t>
      </w:r>
      <w:r>
        <w:t>.</w:t>
      </w:r>
    </w:p>
    <w:p w:rsidR="00EB5069" w:rsidRDefault="00F575C0" w:rsidP="00EB5069">
      <w:pPr>
        <w:pStyle w:val="Caption"/>
      </w:pPr>
      <w:bookmarkStart w:id="7" w:name="_Toc245621936"/>
      <w:r>
        <w:t>Parks and Trail</w:t>
      </w:r>
      <w:r w:rsidR="00EB5069">
        <w:t xml:space="preserve"> Level of Service (LOS) Standards</w:t>
      </w:r>
      <w:bookmarkEnd w:id="7"/>
    </w:p>
    <w:tbl>
      <w:tblPr>
        <w:tblW w:w="0" w:type="auto"/>
        <w:tblBorders>
          <w:top w:val="single" w:sz="4" w:space="0" w:color="1F497D"/>
          <w:bottom w:val="single" w:sz="4" w:space="0" w:color="1F497D"/>
          <w:insideH w:val="single" w:sz="4" w:space="0" w:color="1F497D"/>
        </w:tblBorders>
        <w:tblLook w:val="04A0" w:firstRow="1" w:lastRow="0" w:firstColumn="1" w:lastColumn="0" w:noHBand="0" w:noVBand="1"/>
      </w:tblPr>
      <w:tblGrid>
        <w:gridCol w:w="3888"/>
        <w:gridCol w:w="3888"/>
      </w:tblGrid>
      <w:tr w:rsidR="00EB5069" w:rsidTr="00EB5069">
        <w:trPr>
          <w:tblHeader/>
        </w:trPr>
        <w:tc>
          <w:tcPr>
            <w:tcW w:w="3888" w:type="dxa"/>
          </w:tcPr>
          <w:p w:rsidR="00EB5069" w:rsidRDefault="00EB5069" w:rsidP="00EB5069">
            <w:pPr>
              <w:pStyle w:val="TableHeader"/>
            </w:pPr>
            <w:r>
              <w:t>Category</w:t>
            </w:r>
          </w:p>
        </w:tc>
        <w:tc>
          <w:tcPr>
            <w:tcW w:w="3888" w:type="dxa"/>
          </w:tcPr>
          <w:p w:rsidR="00EB5069" w:rsidRDefault="00EB5069" w:rsidP="00EB5069">
            <w:pPr>
              <w:pStyle w:val="TableHeader"/>
            </w:pPr>
            <w:r>
              <w:t>LOS Standard</w:t>
            </w:r>
          </w:p>
        </w:tc>
      </w:tr>
      <w:tr w:rsidR="00EB5069" w:rsidTr="00EB5069">
        <w:tc>
          <w:tcPr>
            <w:tcW w:w="3888" w:type="dxa"/>
          </w:tcPr>
          <w:p w:rsidR="00EB5069" w:rsidRDefault="00EB5069" w:rsidP="00EB5069">
            <w:pPr>
              <w:pStyle w:val="TableText"/>
            </w:pPr>
            <w:r>
              <w:t>Developed Parks</w:t>
            </w:r>
          </w:p>
        </w:tc>
        <w:tc>
          <w:tcPr>
            <w:tcW w:w="3888" w:type="dxa"/>
          </w:tcPr>
          <w:p w:rsidR="00EB5069" w:rsidRDefault="00EB5069" w:rsidP="00EB5069">
            <w:pPr>
              <w:pStyle w:val="TableText"/>
            </w:pPr>
            <w:r>
              <w:t>9.6 acres per 1,000 population</w:t>
            </w:r>
          </w:p>
        </w:tc>
      </w:tr>
      <w:tr w:rsidR="00EB5069" w:rsidTr="00EB5069">
        <w:tc>
          <w:tcPr>
            <w:tcW w:w="3888" w:type="dxa"/>
          </w:tcPr>
          <w:p w:rsidR="00EB5069" w:rsidRDefault="00EB5069" w:rsidP="00EB5069">
            <w:pPr>
              <w:pStyle w:val="TableText"/>
            </w:pPr>
            <w:r>
              <w:t>Trails</w:t>
            </w:r>
          </w:p>
        </w:tc>
        <w:tc>
          <w:tcPr>
            <w:tcW w:w="3888" w:type="dxa"/>
          </w:tcPr>
          <w:p w:rsidR="00EB5069" w:rsidRDefault="00EB5069" w:rsidP="00EB5069">
            <w:pPr>
              <w:pStyle w:val="TableText"/>
            </w:pPr>
            <w:r>
              <w:t>0.60 of a mile per 1,000 population</w:t>
            </w:r>
          </w:p>
        </w:tc>
      </w:tr>
    </w:tbl>
    <w:p w:rsidR="00EB5069" w:rsidRDefault="00EB5069" w:rsidP="00EB5069">
      <w:pPr>
        <w:pStyle w:val="Heading4"/>
      </w:pPr>
      <w:r>
        <w:t>Developed Parks</w:t>
      </w:r>
      <w:r w:rsidR="00DC396F">
        <w:t xml:space="preserve"> -</w:t>
      </w:r>
      <w:r>
        <w:t xml:space="preserve"> </w:t>
      </w:r>
      <w:r w:rsidR="00DC396F" w:rsidRPr="00DC396F">
        <w:t>Forecast of Future Needs</w:t>
      </w:r>
    </w:p>
    <w:p w:rsidR="00864E92" w:rsidRDefault="00B540FE" w:rsidP="008F78CE">
      <w:pPr>
        <w:pStyle w:val="Caption"/>
        <w:spacing w:line="276" w:lineRule="auto"/>
        <w:ind w:left="0" w:firstLine="0"/>
      </w:pPr>
      <w:r w:rsidRPr="00B540FE">
        <w:rPr>
          <w:rFonts w:ascii="Times New Roman" w:hAnsi="Times New Roman"/>
          <w:b w:val="0"/>
          <w:bCs w:val="0"/>
          <w:color w:val="auto"/>
          <w:sz w:val="22"/>
        </w:rPr>
        <w:t xml:space="preserve">A level of service of 9.6 acres of developed parkland for every 1,000 people in the County was adopted in the Whatcom County Comprehensive Plan.  </w:t>
      </w:r>
      <w:r w:rsidR="00F575C0">
        <w:rPr>
          <w:rFonts w:ascii="Times New Roman" w:hAnsi="Times New Roman"/>
          <w:b w:val="0"/>
          <w:bCs w:val="0"/>
          <w:color w:val="auto"/>
          <w:sz w:val="22"/>
        </w:rPr>
        <w:t>With a projected c</w:t>
      </w:r>
      <w:r w:rsidR="00D56565">
        <w:rPr>
          <w:rFonts w:ascii="Times New Roman" w:hAnsi="Times New Roman"/>
          <w:b w:val="0"/>
          <w:bCs w:val="0"/>
          <w:color w:val="auto"/>
          <w:sz w:val="22"/>
        </w:rPr>
        <w:t>ounty-wide population of 275,450</w:t>
      </w:r>
      <w:r w:rsidR="00F575C0">
        <w:rPr>
          <w:rFonts w:ascii="Times New Roman" w:hAnsi="Times New Roman"/>
          <w:b w:val="0"/>
          <w:bCs w:val="0"/>
          <w:color w:val="auto"/>
          <w:sz w:val="22"/>
        </w:rPr>
        <w:t xml:space="preserve"> in the year 2036, t</w:t>
      </w:r>
      <w:r w:rsidRPr="00B540FE">
        <w:rPr>
          <w:rFonts w:ascii="Times New Roman" w:hAnsi="Times New Roman"/>
          <w:b w:val="0"/>
          <w:bCs w:val="0"/>
          <w:color w:val="auto"/>
          <w:sz w:val="22"/>
        </w:rPr>
        <w:t>he County’s existing parks will meet the adopt</w:t>
      </w:r>
      <w:r>
        <w:rPr>
          <w:rFonts w:ascii="Times New Roman" w:hAnsi="Times New Roman"/>
          <w:b w:val="0"/>
          <w:bCs w:val="0"/>
          <w:color w:val="auto"/>
          <w:sz w:val="22"/>
        </w:rPr>
        <w:t>ed level of service over the 20</w:t>
      </w:r>
      <w:r w:rsidRPr="00B540FE">
        <w:rPr>
          <w:rFonts w:ascii="Times New Roman" w:hAnsi="Times New Roman"/>
          <w:b w:val="0"/>
          <w:bCs w:val="0"/>
          <w:color w:val="auto"/>
          <w:sz w:val="22"/>
        </w:rPr>
        <w:t>-year planning period.  However, the County is proposing park improvement projects to increase quality of existing park facilities and develop the Birch Bay Community Park to meet the longer term needs of a growing population.</w:t>
      </w:r>
    </w:p>
    <w:p w:rsidR="00B540FE" w:rsidRPr="00B540FE" w:rsidRDefault="00B540FE" w:rsidP="00B540FE"/>
    <w:p w:rsidR="00EB5069" w:rsidRDefault="00EB5069" w:rsidP="00EB5069">
      <w:pPr>
        <w:pStyle w:val="Heading4"/>
      </w:pPr>
      <w:r>
        <w:t>Trails</w:t>
      </w:r>
      <w:r w:rsidR="00DC396F">
        <w:t xml:space="preserve"> -</w:t>
      </w:r>
      <w:r>
        <w:t xml:space="preserve"> </w:t>
      </w:r>
      <w:r w:rsidR="00DC396F" w:rsidRPr="00DC396F">
        <w:t>Forecast of Future Needs</w:t>
      </w:r>
    </w:p>
    <w:p w:rsidR="00EB5069" w:rsidRDefault="00B540FE" w:rsidP="008F78CE">
      <w:pPr>
        <w:pStyle w:val="TableNotes"/>
        <w:spacing w:line="276" w:lineRule="auto"/>
      </w:pPr>
      <w:r w:rsidRPr="00B540FE">
        <w:rPr>
          <w:rFonts w:ascii="Times New Roman" w:hAnsi="Times New Roman" w:cs="Times New Roman"/>
          <w:sz w:val="22"/>
          <w:szCs w:val="24"/>
        </w:rPr>
        <w:t xml:space="preserve">A level of service of 0.60 miles of trails for every 1,000 people in the County was adopted in the Whatcom County Comprehensive Plan.  </w:t>
      </w:r>
      <w:r w:rsidR="00F575C0" w:rsidRPr="00F575C0">
        <w:rPr>
          <w:rFonts w:ascii="Times New Roman" w:hAnsi="Times New Roman" w:cs="Times New Roman"/>
          <w:sz w:val="22"/>
          <w:szCs w:val="24"/>
        </w:rPr>
        <w:t>With a projected c</w:t>
      </w:r>
      <w:r w:rsidR="00D56565">
        <w:rPr>
          <w:rFonts w:ascii="Times New Roman" w:hAnsi="Times New Roman" w:cs="Times New Roman"/>
          <w:sz w:val="22"/>
          <w:szCs w:val="24"/>
        </w:rPr>
        <w:t>ounty-wide population of 275,450</w:t>
      </w:r>
      <w:r w:rsidR="00F575C0" w:rsidRPr="00F575C0">
        <w:rPr>
          <w:rFonts w:ascii="Times New Roman" w:hAnsi="Times New Roman" w:cs="Times New Roman"/>
          <w:sz w:val="22"/>
          <w:szCs w:val="24"/>
        </w:rPr>
        <w:t xml:space="preserve"> in </w:t>
      </w:r>
      <w:r w:rsidR="00F575C0">
        <w:rPr>
          <w:rFonts w:ascii="Times New Roman" w:hAnsi="Times New Roman" w:cs="Times New Roman"/>
          <w:sz w:val="22"/>
          <w:szCs w:val="24"/>
        </w:rPr>
        <w:lastRenderedPageBreak/>
        <w:t xml:space="preserve">the year </w:t>
      </w:r>
      <w:r w:rsidR="00F575C0" w:rsidRPr="00F575C0">
        <w:rPr>
          <w:rFonts w:ascii="Times New Roman" w:hAnsi="Times New Roman" w:cs="Times New Roman"/>
          <w:sz w:val="22"/>
          <w:szCs w:val="24"/>
        </w:rPr>
        <w:t>2036,</w:t>
      </w:r>
      <w:r>
        <w:rPr>
          <w:rFonts w:ascii="Times New Roman" w:hAnsi="Times New Roman" w:cs="Times New Roman"/>
          <w:sz w:val="22"/>
          <w:szCs w:val="24"/>
        </w:rPr>
        <w:t xml:space="preserve"> almost 100</w:t>
      </w:r>
      <w:r w:rsidRPr="00B540FE">
        <w:rPr>
          <w:rFonts w:ascii="Times New Roman" w:hAnsi="Times New Roman" w:cs="Times New Roman"/>
          <w:sz w:val="22"/>
          <w:szCs w:val="24"/>
        </w:rPr>
        <w:t xml:space="preserve"> additional miles of trails </w:t>
      </w:r>
      <w:r>
        <w:rPr>
          <w:rFonts w:ascii="Times New Roman" w:hAnsi="Times New Roman" w:cs="Times New Roman"/>
          <w:sz w:val="22"/>
          <w:szCs w:val="24"/>
        </w:rPr>
        <w:t xml:space="preserve">would be needed </w:t>
      </w:r>
      <w:r w:rsidR="00F575C0">
        <w:rPr>
          <w:rFonts w:ascii="Times New Roman" w:hAnsi="Times New Roman"/>
          <w:sz w:val="22"/>
        </w:rPr>
        <w:t>over the 20</w:t>
      </w:r>
      <w:r w:rsidR="00F575C0" w:rsidRPr="00B540FE">
        <w:rPr>
          <w:rFonts w:ascii="Times New Roman" w:hAnsi="Times New Roman"/>
          <w:sz w:val="22"/>
        </w:rPr>
        <w:t>-year planning period</w:t>
      </w:r>
      <w:r w:rsidR="00F575C0" w:rsidRPr="00B540FE">
        <w:rPr>
          <w:rFonts w:ascii="Times New Roman" w:hAnsi="Times New Roman" w:cs="Times New Roman"/>
          <w:sz w:val="22"/>
          <w:szCs w:val="24"/>
        </w:rPr>
        <w:t xml:space="preserve"> </w:t>
      </w:r>
      <w:r w:rsidRPr="00B540FE">
        <w:rPr>
          <w:rFonts w:ascii="Times New Roman" w:hAnsi="Times New Roman" w:cs="Times New Roman"/>
          <w:sz w:val="22"/>
          <w:szCs w:val="24"/>
        </w:rPr>
        <w:t>to serve the people of Whatcom County.</w:t>
      </w:r>
    </w:p>
    <w:p w:rsidR="00EB5069" w:rsidRDefault="00EB5069" w:rsidP="00EB5069">
      <w:pPr>
        <w:pStyle w:val="Heading4"/>
      </w:pPr>
      <w:r>
        <w:t xml:space="preserve">Activity Center </w:t>
      </w:r>
      <w:r w:rsidR="00DC396F">
        <w:t>- Forecast of Future Needs</w:t>
      </w:r>
    </w:p>
    <w:p w:rsidR="008756A0" w:rsidRDefault="008756A0" w:rsidP="008756A0">
      <w:pPr>
        <w:pStyle w:val="BodyText"/>
      </w:pPr>
      <w:r>
        <w:t>The Whatcom County Comprehensive Plan does not contain a level of service standard for activity centers.  Rather, the Comprehensive Plan Policy 4F-5 states:</w:t>
      </w:r>
    </w:p>
    <w:p w:rsidR="00EB5069" w:rsidRDefault="008756A0" w:rsidP="008756A0">
      <w:pPr>
        <w:pStyle w:val="BodyText"/>
        <w:ind w:left="720"/>
        <w:rPr>
          <w:sz w:val="18"/>
          <w:szCs w:val="18"/>
        </w:rPr>
      </w:pPr>
      <w:r>
        <w:t>Continue to provide and support activity centers, including senior centers, to serve the growing population of Whatcom County by the following methods, as needed, which are listed in priority order: (1) implementing programming changes, (2) adding space to existing centers, and/or (3) establishing new centers.</w:t>
      </w:r>
    </w:p>
    <w:p w:rsidR="00EB5069" w:rsidRDefault="00EB5069" w:rsidP="00EB5069">
      <w:pPr>
        <w:pStyle w:val="Heading3"/>
      </w:pPr>
      <w:bookmarkStart w:id="8" w:name="_Toc245621842"/>
      <w:r>
        <w:t>Capital Projects and Funding</w:t>
      </w:r>
      <w:bookmarkEnd w:id="8"/>
      <w:r w:rsidR="00C559DA">
        <w:t xml:space="preserve"> – County Facilities</w:t>
      </w:r>
    </w:p>
    <w:p w:rsidR="00EB5069" w:rsidRDefault="00EB5069" w:rsidP="00EB5069">
      <w:pPr>
        <w:pStyle w:val="Heading4"/>
      </w:pPr>
      <w:r>
        <w:t>Developed Parks</w:t>
      </w:r>
    </w:p>
    <w:p w:rsidR="00F506AC" w:rsidRPr="00DD36A6" w:rsidRDefault="00CC798C" w:rsidP="00CC798C">
      <w:pPr>
        <w:pStyle w:val="BodyText"/>
      </w:pPr>
      <w:r>
        <w:t xml:space="preserve">Park projects anticipated in the six-year planning period include approximately </w:t>
      </w:r>
      <w:r w:rsidR="008E39C8">
        <w:t>$</w:t>
      </w:r>
      <w:r>
        <w:t>2.2 million in improvements</w:t>
      </w:r>
      <w:r w:rsidR="00F575C0">
        <w:t xml:space="preserve">.  These projects, and their associated funding sources, are shown in </w:t>
      </w:r>
      <w:r>
        <w:t xml:space="preserve">the </w:t>
      </w:r>
      <w:r w:rsidRPr="00F575C0">
        <w:rPr>
          <w:i/>
        </w:rPr>
        <w:t>Six-Year Capital Improvement Program</w:t>
      </w:r>
      <w:r w:rsidR="008E39C8" w:rsidRPr="00F575C0">
        <w:rPr>
          <w:i/>
        </w:rPr>
        <w:t xml:space="preserve"> for Whatcom County Facilities</w:t>
      </w:r>
      <w:r w:rsidR="008F78CE">
        <w:t xml:space="preserve">.  </w:t>
      </w:r>
      <w:r w:rsidR="00F575C0">
        <w:t xml:space="preserve">It is anticipated that approximately </w:t>
      </w:r>
      <w:r w:rsidR="00F575C0" w:rsidRPr="00F575C0">
        <w:t>$500,000</w:t>
      </w:r>
      <w:r w:rsidR="00F575C0">
        <w:t xml:space="preserve"> </w:t>
      </w:r>
      <w:r>
        <w:t>would be spent annually</w:t>
      </w:r>
      <w:r w:rsidR="007A6345">
        <w:t xml:space="preserve"> on various </w:t>
      </w:r>
      <w:r>
        <w:t>park projects</w:t>
      </w:r>
      <w:r w:rsidR="00F575C0">
        <w:t xml:space="preserve"> throughout</w:t>
      </w:r>
      <w:r w:rsidR="00F575C0" w:rsidRPr="00F575C0">
        <w:t xml:space="preserve"> the 7 to 20 year planning period</w:t>
      </w:r>
      <w:r>
        <w:t xml:space="preserve">.  These costs would be paid from </w:t>
      </w:r>
      <w:r w:rsidR="009A245A">
        <w:t>Real Estate Excise Tax (</w:t>
      </w:r>
      <w:r>
        <w:t>REET</w:t>
      </w:r>
      <w:r w:rsidR="009A245A">
        <w:t>)</w:t>
      </w:r>
      <w:r w:rsidR="00F575C0">
        <w:t>, grant</w:t>
      </w:r>
      <w:r w:rsidR="00D56565">
        <w:t>s</w:t>
      </w:r>
      <w:r w:rsidR="00F575C0">
        <w:t>, and f</w:t>
      </w:r>
      <w:r w:rsidR="008E39C8">
        <w:t>oundation</w:t>
      </w:r>
      <w:r>
        <w:t xml:space="preserve"> funds.  The County will also monitor the adequacy of County </w:t>
      </w:r>
      <w:r w:rsidR="008E39C8">
        <w:t>park facilities</w:t>
      </w:r>
      <w:r>
        <w:t xml:space="preserve"> throughout the planning period and consider </w:t>
      </w:r>
      <w:r w:rsidR="008E39C8">
        <w:t xml:space="preserve">other </w:t>
      </w:r>
      <w:r>
        <w:t xml:space="preserve">capital improvements and maintenance projects if warranted in the future. </w:t>
      </w:r>
    </w:p>
    <w:p w:rsidR="00EB5069" w:rsidRDefault="00EB5069" w:rsidP="00EB5069">
      <w:pPr>
        <w:pStyle w:val="Heading4"/>
      </w:pPr>
      <w:r>
        <w:t>Trail Improvements</w:t>
      </w:r>
    </w:p>
    <w:p w:rsidR="00EB5069" w:rsidRDefault="008E39C8" w:rsidP="008E39C8">
      <w:pPr>
        <w:pStyle w:val="BodyText"/>
      </w:pPr>
      <w:r>
        <w:t xml:space="preserve">Trail projects anticipated in the six-year planning period include approximately $3.5 million in </w:t>
      </w:r>
      <w:r w:rsidR="00F575C0">
        <w:t xml:space="preserve">improvements.  These projects, and their associated funding sources, are shown in the </w:t>
      </w:r>
      <w:r w:rsidR="00F575C0" w:rsidRPr="00F575C0">
        <w:rPr>
          <w:i/>
        </w:rPr>
        <w:t>Six-Year Capital Improvement Program for Whatcom County Facilities</w:t>
      </w:r>
      <w:r w:rsidR="00F575C0">
        <w:t xml:space="preserve">. </w:t>
      </w:r>
      <w:r w:rsidR="008F78CE">
        <w:t xml:space="preserve"> </w:t>
      </w:r>
      <w:r w:rsidR="00F575C0">
        <w:t xml:space="preserve">It is anticipated that approximately </w:t>
      </w:r>
      <w:r w:rsidR="00F575C0" w:rsidRPr="00F575C0">
        <w:t>$</w:t>
      </w:r>
      <w:r w:rsidR="00F575C0">
        <w:t>326,000 would be spent annually on various trail projects throughout</w:t>
      </w:r>
      <w:r w:rsidR="00F575C0" w:rsidRPr="00F575C0">
        <w:t xml:space="preserve"> the 7 to 20 year planning period</w:t>
      </w:r>
      <w:r w:rsidR="00F575C0">
        <w:t xml:space="preserve">.  These costs would be paid from REET and grant funds.  </w:t>
      </w:r>
      <w:r>
        <w:t>The County will also monitor the adequacy of County trail facilities throughout the planning period and consider other capital improvements and maintenance projects if warranted in the future.</w:t>
      </w:r>
    </w:p>
    <w:p w:rsidR="00EB5069" w:rsidRDefault="00EB5069" w:rsidP="00EB5069">
      <w:pPr>
        <w:pStyle w:val="Heading4"/>
      </w:pPr>
      <w:r>
        <w:t>Activity Centers</w:t>
      </w:r>
    </w:p>
    <w:p w:rsidR="0072427E" w:rsidRDefault="0086312C" w:rsidP="009A245A">
      <w:pPr>
        <w:pStyle w:val="Heading4"/>
        <w:spacing w:line="276" w:lineRule="auto"/>
        <w:rPr>
          <w:rFonts w:ascii="Times New Roman" w:hAnsi="Times New Roman" w:cs="Times New Roman"/>
          <w:b w:val="0"/>
          <w:bCs w:val="0"/>
          <w:color w:val="auto"/>
          <w:sz w:val="22"/>
          <w:szCs w:val="24"/>
        </w:rPr>
      </w:pPr>
      <w:r>
        <w:rPr>
          <w:rFonts w:ascii="Times New Roman" w:hAnsi="Times New Roman" w:cs="Times New Roman"/>
          <w:b w:val="0"/>
          <w:bCs w:val="0"/>
          <w:color w:val="auto"/>
          <w:sz w:val="22"/>
          <w:szCs w:val="24"/>
        </w:rPr>
        <w:t>Activity Center</w:t>
      </w:r>
      <w:r w:rsidRPr="0086312C">
        <w:rPr>
          <w:rFonts w:ascii="Times New Roman" w:hAnsi="Times New Roman" w:cs="Times New Roman"/>
          <w:b w:val="0"/>
          <w:bCs w:val="0"/>
          <w:color w:val="auto"/>
          <w:sz w:val="22"/>
          <w:szCs w:val="24"/>
        </w:rPr>
        <w:t xml:space="preserve"> projects anticipated in the six-year planning period in</w:t>
      </w:r>
      <w:r>
        <w:rPr>
          <w:rFonts w:ascii="Times New Roman" w:hAnsi="Times New Roman" w:cs="Times New Roman"/>
          <w:b w:val="0"/>
          <w:bCs w:val="0"/>
          <w:color w:val="auto"/>
          <w:sz w:val="22"/>
          <w:szCs w:val="24"/>
        </w:rPr>
        <w:t>clude approximately $125,000</w:t>
      </w:r>
      <w:r w:rsidRPr="0086312C">
        <w:rPr>
          <w:rFonts w:ascii="Times New Roman" w:hAnsi="Times New Roman" w:cs="Times New Roman"/>
          <w:b w:val="0"/>
          <w:bCs w:val="0"/>
          <w:color w:val="auto"/>
          <w:sz w:val="22"/>
          <w:szCs w:val="24"/>
        </w:rPr>
        <w:t xml:space="preserve"> in improvements.  These projects, and their associated funding sources, are shown in the </w:t>
      </w:r>
      <w:r w:rsidRPr="0086312C">
        <w:rPr>
          <w:rFonts w:ascii="Times New Roman" w:hAnsi="Times New Roman" w:cs="Times New Roman"/>
          <w:b w:val="0"/>
          <w:bCs w:val="0"/>
          <w:i/>
          <w:color w:val="auto"/>
          <w:sz w:val="22"/>
          <w:szCs w:val="24"/>
        </w:rPr>
        <w:t>Six-Year Capital Improvement Program for Whatcom County Facilities</w:t>
      </w:r>
      <w:r w:rsidR="008F78CE">
        <w:rPr>
          <w:rFonts w:ascii="Times New Roman" w:hAnsi="Times New Roman" w:cs="Times New Roman"/>
          <w:b w:val="0"/>
          <w:bCs w:val="0"/>
          <w:color w:val="auto"/>
          <w:sz w:val="22"/>
          <w:szCs w:val="24"/>
        </w:rPr>
        <w:t xml:space="preserve">.  </w:t>
      </w:r>
      <w:r w:rsidRPr="0086312C">
        <w:rPr>
          <w:rFonts w:ascii="Times New Roman" w:hAnsi="Times New Roman" w:cs="Times New Roman"/>
          <w:b w:val="0"/>
          <w:bCs w:val="0"/>
          <w:color w:val="auto"/>
          <w:sz w:val="22"/>
          <w:szCs w:val="24"/>
        </w:rPr>
        <w:t>It is a</w:t>
      </w:r>
      <w:r>
        <w:rPr>
          <w:rFonts w:ascii="Times New Roman" w:hAnsi="Times New Roman" w:cs="Times New Roman"/>
          <w:b w:val="0"/>
          <w:bCs w:val="0"/>
          <w:color w:val="auto"/>
          <w:sz w:val="22"/>
          <w:szCs w:val="24"/>
        </w:rPr>
        <w:t>nticipated that approximately $23</w:t>
      </w:r>
      <w:r w:rsidRPr="0086312C">
        <w:rPr>
          <w:rFonts w:ascii="Times New Roman" w:hAnsi="Times New Roman" w:cs="Times New Roman"/>
          <w:b w:val="0"/>
          <w:bCs w:val="0"/>
          <w:color w:val="auto"/>
          <w:sz w:val="22"/>
          <w:szCs w:val="24"/>
        </w:rPr>
        <w:t xml:space="preserve">,000 would be spent annually on various </w:t>
      </w:r>
      <w:r w:rsidR="009A245A" w:rsidRPr="009A245A">
        <w:rPr>
          <w:rFonts w:ascii="Times New Roman" w:hAnsi="Times New Roman" w:cs="Times New Roman"/>
          <w:b w:val="0"/>
          <w:bCs w:val="0"/>
          <w:color w:val="auto"/>
          <w:sz w:val="22"/>
          <w:szCs w:val="24"/>
        </w:rPr>
        <w:t>activity center</w:t>
      </w:r>
      <w:r w:rsidRPr="0086312C">
        <w:rPr>
          <w:rFonts w:ascii="Times New Roman" w:hAnsi="Times New Roman" w:cs="Times New Roman"/>
          <w:b w:val="0"/>
          <w:bCs w:val="0"/>
          <w:color w:val="auto"/>
          <w:sz w:val="22"/>
          <w:szCs w:val="24"/>
        </w:rPr>
        <w:t xml:space="preserve"> projects throughout the 7 to 20 year planning period.  These costs would be paid from REET and grant funds.  The County will also monitor th</w:t>
      </w:r>
      <w:r>
        <w:rPr>
          <w:rFonts w:ascii="Times New Roman" w:hAnsi="Times New Roman" w:cs="Times New Roman"/>
          <w:b w:val="0"/>
          <w:bCs w:val="0"/>
          <w:color w:val="auto"/>
          <w:sz w:val="22"/>
          <w:szCs w:val="24"/>
        </w:rPr>
        <w:t>e adequacy of activity centers</w:t>
      </w:r>
      <w:r w:rsidRPr="0086312C">
        <w:rPr>
          <w:rFonts w:ascii="Times New Roman" w:hAnsi="Times New Roman" w:cs="Times New Roman"/>
          <w:b w:val="0"/>
          <w:bCs w:val="0"/>
          <w:color w:val="auto"/>
          <w:sz w:val="22"/>
          <w:szCs w:val="24"/>
        </w:rPr>
        <w:t xml:space="preserve"> throughout the planning period and consider other capital improvements and maintenance projects if warranted in the future.</w:t>
      </w:r>
    </w:p>
    <w:p w:rsidR="008F78CE" w:rsidRDefault="008F78CE" w:rsidP="008F78CE">
      <w:pPr>
        <w:pStyle w:val="BodyText"/>
      </w:pPr>
    </w:p>
    <w:p w:rsidR="008F78CE" w:rsidRPr="008F78CE" w:rsidRDefault="008F78CE" w:rsidP="008F78CE">
      <w:pPr>
        <w:pStyle w:val="BodyText"/>
      </w:pPr>
    </w:p>
    <w:p w:rsidR="0072427E" w:rsidRPr="00632943" w:rsidRDefault="0072427E" w:rsidP="0072427E">
      <w:pPr>
        <w:pStyle w:val="Heading5"/>
        <w:rPr>
          <w:sz w:val="36"/>
          <w:szCs w:val="36"/>
        </w:rPr>
      </w:pPr>
      <w:r w:rsidRPr="00632943">
        <w:rPr>
          <w:sz w:val="36"/>
          <w:szCs w:val="36"/>
        </w:rPr>
        <w:t>Regional Parks District</w:t>
      </w:r>
      <w:r w:rsidR="0086312C" w:rsidRPr="00632943">
        <w:rPr>
          <w:sz w:val="36"/>
          <w:szCs w:val="36"/>
        </w:rPr>
        <w:t>s</w:t>
      </w:r>
    </w:p>
    <w:p w:rsidR="0086312C" w:rsidRDefault="0086312C" w:rsidP="0072427E">
      <w:pPr>
        <w:pStyle w:val="BodyText"/>
      </w:pPr>
      <w:r>
        <w:t>There are three regional park districts that include land area in unincorporated Whatcom County:</w:t>
      </w:r>
    </w:p>
    <w:p w:rsidR="009A245A" w:rsidRDefault="009A245A" w:rsidP="009A245A">
      <w:pPr>
        <w:pStyle w:val="BodyText"/>
        <w:numPr>
          <w:ilvl w:val="0"/>
          <w:numId w:val="45"/>
        </w:numPr>
      </w:pPr>
      <w:r w:rsidRPr="0086312C">
        <w:t>Point Roberts P</w:t>
      </w:r>
      <w:r>
        <w:t xml:space="preserve">ark &amp; Recreation District </w:t>
      </w:r>
      <w:r w:rsidRPr="0086312C">
        <w:t>1</w:t>
      </w:r>
      <w:r>
        <w:t>;</w:t>
      </w:r>
    </w:p>
    <w:p w:rsidR="0086312C" w:rsidRDefault="00DF4BD6" w:rsidP="0086312C">
      <w:pPr>
        <w:pStyle w:val="BodyText"/>
        <w:numPr>
          <w:ilvl w:val="0"/>
          <w:numId w:val="45"/>
        </w:numPr>
      </w:pPr>
      <w:r>
        <w:t>Blain</w:t>
      </w:r>
      <w:r w:rsidR="009A245A">
        <w:t>e-Birch Bay Park &amp;</w:t>
      </w:r>
      <w:r w:rsidR="0086312C">
        <w:t xml:space="preserve"> Recreation District 2;</w:t>
      </w:r>
      <w:r w:rsidR="009A245A">
        <w:t xml:space="preserve"> and</w:t>
      </w:r>
    </w:p>
    <w:p w:rsidR="0086312C" w:rsidRDefault="009A245A" w:rsidP="0086312C">
      <w:pPr>
        <w:pStyle w:val="BodyText"/>
        <w:numPr>
          <w:ilvl w:val="0"/>
          <w:numId w:val="45"/>
        </w:numPr>
      </w:pPr>
      <w:r>
        <w:t>Lynden Regional Parks &amp;</w:t>
      </w:r>
      <w:r w:rsidR="0086312C" w:rsidRPr="0086312C">
        <w:t xml:space="preserve"> Recreation District</w:t>
      </w:r>
      <w:r>
        <w:t xml:space="preserve"> 3.</w:t>
      </w:r>
    </w:p>
    <w:p w:rsidR="004045F8" w:rsidRDefault="004045F8" w:rsidP="004045F8">
      <w:pPr>
        <w:pStyle w:val="BodyText"/>
        <w:ind w:left="720"/>
      </w:pPr>
    </w:p>
    <w:p w:rsidR="004045F8" w:rsidRDefault="004045F8" w:rsidP="004045F8">
      <w:pPr>
        <w:pStyle w:val="Heading4"/>
      </w:pPr>
      <w:r>
        <w:t>Point Roberts Park &amp; Recreation District 1</w:t>
      </w:r>
    </w:p>
    <w:p w:rsidR="004045F8" w:rsidRDefault="004045F8" w:rsidP="004045F8">
      <w:pPr>
        <w:pStyle w:val="BodyText"/>
      </w:pPr>
      <w:r>
        <w:t>The Point Roberts Park and Recreation District does not have a capital facilities plan or master plan.  However, the voters of the District approved a p</w:t>
      </w:r>
      <w:r w:rsidRPr="00DF4BD6">
        <w:t xml:space="preserve">roposition </w:t>
      </w:r>
      <w:r>
        <w:t xml:space="preserve">on November 5, 2013 for </w:t>
      </w:r>
      <w:r w:rsidRPr="00DF4BD6">
        <w:t>Community Center Capital Improve</w:t>
      </w:r>
      <w:r>
        <w:t>ments General Obligation Bonds in the amount of</w:t>
      </w:r>
      <w:r w:rsidRPr="00DF4BD6">
        <w:t xml:space="preserve"> $250,000. </w:t>
      </w:r>
      <w:r>
        <w:t xml:space="preserve"> </w:t>
      </w:r>
      <w:r w:rsidR="00D56565">
        <w:t>This proposition authorized</w:t>
      </w:r>
      <w:r w:rsidRPr="00DF4BD6">
        <w:t xml:space="preserve"> the District to replace the roof and HVAC systems of the community center, improve drainage on the site, and make other capital improvements to maintain and improve the safety and str</w:t>
      </w:r>
      <w:r w:rsidR="00D56565">
        <w:t xml:space="preserve">uctural soundness of the center.  The proposition authorized the District to issue </w:t>
      </w:r>
      <w:r w:rsidRPr="00DF4BD6">
        <w:t>$250,000 of general obligation bonds mat</w:t>
      </w:r>
      <w:r w:rsidR="00FE502B">
        <w:t>uring within a maximum 10 years</w:t>
      </w:r>
      <w:r w:rsidRPr="00DF4BD6">
        <w:t xml:space="preserve"> and to levy property taxes annually, in addition to regular </w:t>
      </w:r>
      <w:r>
        <w:t>tax levies, to repay the bonds.</w:t>
      </w:r>
    </w:p>
    <w:p w:rsidR="00C559DA" w:rsidRDefault="00C559DA" w:rsidP="00C559DA">
      <w:pPr>
        <w:pStyle w:val="Heading4"/>
      </w:pPr>
      <w:r>
        <w:t>Blaine-Birch Bay Park &amp; Recreation District 2</w:t>
      </w:r>
    </w:p>
    <w:p w:rsidR="00B36549" w:rsidRDefault="00C559DA" w:rsidP="0072427E">
      <w:pPr>
        <w:pStyle w:val="BodyText"/>
      </w:pPr>
      <w:r>
        <w:t xml:space="preserve">The </w:t>
      </w:r>
      <w:r w:rsidRPr="00C559DA">
        <w:rPr>
          <w:i/>
        </w:rPr>
        <w:t>Blaine-Birch Bay Park &amp; Recreation District 2 Master Plan Document</w:t>
      </w:r>
      <w:r w:rsidR="00FE502B">
        <w:t xml:space="preserve"> was adopted by</w:t>
      </w:r>
      <w:r w:rsidRPr="00C559DA">
        <w:t xml:space="preserve"> the Blaine-Birch Bay Park and Recreati</w:t>
      </w:r>
      <w:r>
        <w:t xml:space="preserve">on District 2 Commissioners on </w:t>
      </w:r>
      <w:r w:rsidRPr="00C559DA">
        <w:t>February 9, 2016</w:t>
      </w:r>
      <w:r w:rsidR="00FE502B">
        <w:t xml:space="preserve"> (Resolution #</w:t>
      </w:r>
      <w:r w:rsidR="00FE502B" w:rsidRPr="00C559DA">
        <w:t xml:space="preserve"> 2016-1</w:t>
      </w:r>
      <w:r w:rsidR="00FE502B">
        <w:t>)</w:t>
      </w:r>
      <w:r w:rsidRPr="00C559DA">
        <w:t>.</w:t>
      </w:r>
      <w:r>
        <w:t xml:space="preserve">  </w:t>
      </w:r>
      <w:r w:rsidR="009A245A">
        <w:t xml:space="preserve">The </w:t>
      </w:r>
      <w:r w:rsidR="009A245A" w:rsidRPr="009A245A">
        <w:rPr>
          <w:i/>
        </w:rPr>
        <w:t>Master Plan</w:t>
      </w:r>
      <w:r w:rsidR="009A245A">
        <w:t xml:space="preserve"> states:</w:t>
      </w:r>
    </w:p>
    <w:p w:rsidR="00B36549" w:rsidRDefault="009A245A" w:rsidP="00B36549">
      <w:pPr>
        <w:pStyle w:val="BodyText"/>
        <w:ind w:left="720"/>
      </w:pPr>
      <w:r>
        <w:rPr>
          <w:spacing w:val="-1"/>
        </w:rPr>
        <w:t xml:space="preserve">. . </w:t>
      </w:r>
      <w:r w:rsidR="00FE502B">
        <w:rPr>
          <w:spacing w:val="-1"/>
        </w:rPr>
        <w:t>. The</w:t>
      </w:r>
      <w:r w:rsidR="00B36549">
        <w:rPr>
          <w:spacing w:val="1"/>
        </w:rPr>
        <w:t xml:space="preserve"> </w:t>
      </w:r>
      <w:r w:rsidR="00B36549">
        <w:rPr>
          <w:spacing w:val="-2"/>
        </w:rPr>
        <w:t>B</w:t>
      </w:r>
      <w:r w:rsidR="00B36549">
        <w:t>l</w:t>
      </w:r>
      <w:r w:rsidR="00B36549">
        <w:rPr>
          <w:spacing w:val="-1"/>
        </w:rPr>
        <w:t>a</w:t>
      </w:r>
      <w:r w:rsidR="00B36549">
        <w:t>in</w:t>
      </w:r>
      <w:r w:rsidR="00B36549">
        <w:rPr>
          <w:spacing w:val="-1"/>
        </w:rPr>
        <w:t>e</w:t>
      </w:r>
      <w:r w:rsidR="00B36549">
        <w:rPr>
          <w:spacing w:val="1"/>
        </w:rPr>
        <w:t>-</w:t>
      </w:r>
      <w:r w:rsidR="00B36549">
        <w:t>Bi</w:t>
      </w:r>
      <w:r w:rsidR="00B36549">
        <w:rPr>
          <w:spacing w:val="-1"/>
        </w:rPr>
        <w:t>rc</w:t>
      </w:r>
      <w:r w:rsidR="00B36549">
        <w:t>h P</w:t>
      </w:r>
      <w:r w:rsidR="00B36549">
        <w:rPr>
          <w:spacing w:val="-1"/>
        </w:rPr>
        <w:t>ar</w:t>
      </w:r>
      <w:r w:rsidR="00B36549">
        <w:t xml:space="preserve">k </w:t>
      </w:r>
      <w:r w:rsidR="00B36549">
        <w:rPr>
          <w:spacing w:val="-1"/>
        </w:rPr>
        <w:t>a</w:t>
      </w:r>
      <w:r w:rsidR="00B36549">
        <w:t>nd R</w:t>
      </w:r>
      <w:r w:rsidR="00B36549">
        <w:rPr>
          <w:spacing w:val="1"/>
        </w:rPr>
        <w:t>e</w:t>
      </w:r>
      <w:r w:rsidR="00B36549">
        <w:rPr>
          <w:spacing w:val="-1"/>
        </w:rPr>
        <w:t>cr</w:t>
      </w:r>
      <w:r w:rsidR="00B36549">
        <w:rPr>
          <w:spacing w:val="1"/>
        </w:rPr>
        <w:t>e</w:t>
      </w:r>
      <w:r w:rsidR="00B36549">
        <w:rPr>
          <w:spacing w:val="-1"/>
        </w:rPr>
        <w:t>a</w:t>
      </w:r>
      <w:r w:rsidR="00B36549">
        <w:t xml:space="preserve">tion </w:t>
      </w:r>
      <w:r w:rsidR="00B36549">
        <w:rPr>
          <w:spacing w:val="-1"/>
        </w:rPr>
        <w:t>D</w:t>
      </w:r>
      <w:r w:rsidR="00B36549">
        <w:t>ist</w:t>
      </w:r>
      <w:r w:rsidR="00B36549">
        <w:rPr>
          <w:spacing w:val="-1"/>
        </w:rPr>
        <w:t>r</w:t>
      </w:r>
      <w:r w:rsidR="00B36549">
        <w:t>i</w:t>
      </w:r>
      <w:r w:rsidR="00B36549">
        <w:rPr>
          <w:spacing w:val="-1"/>
        </w:rPr>
        <w:t>c</w:t>
      </w:r>
      <w:r w:rsidR="00B36549">
        <w:t xml:space="preserve">t 2 </w:t>
      </w:r>
      <w:r w:rsidR="00B36549">
        <w:rPr>
          <w:spacing w:val="-1"/>
        </w:rPr>
        <w:t>(</w:t>
      </w:r>
      <w:r w:rsidR="00B36549">
        <w:rPr>
          <w:spacing w:val="-2"/>
        </w:rPr>
        <w:t>F</w:t>
      </w:r>
      <w:r w:rsidR="00B36549">
        <w:t>o</w:t>
      </w:r>
      <w:r w:rsidR="00B36549">
        <w:rPr>
          <w:spacing w:val="-1"/>
        </w:rPr>
        <w:t>r</w:t>
      </w:r>
      <w:r w:rsidR="00B36549">
        <w:t>m</w:t>
      </w:r>
      <w:r w:rsidR="00B36549">
        <w:rPr>
          <w:spacing w:val="1"/>
        </w:rPr>
        <w:t>e</w:t>
      </w:r>
      <w:r w:rsidR="00B36549">
        <w:rPr>
          <w:spacing w:val="-1"/>
        </w:rPr>
        <w:t>r</w:t>
      </w:r>
      <w:r w:rsidR="00B36549">
        <w:rPr>
          <w:spacing w:val="2"/>
        </w:rPr>
        <w:t>l</w:t>
      </w:r>
      <w:r w:rsidR="00B36549">
        <w:t>y</w:t>
      </w:r>
      <w:r w:rsidR="00B36549">
        <w:rPr>
          <w:spacing w:val="-3"/>
        </w:rPr>
        <w:t xml:space="preserve"> </w:t>
      </w:r>
      <w:r w:rsidR="00B36549">
        <w:rPr>
          <w:spacing w:val="-1"/>
        </w:rPr>
        <w:t>N</w:t>
      </w:r>
      <w:r w:rsidR="00B36549">
        <w:t>o</w:t>
      </w:r>
      <w:r w:rsidR="00B36549">
        <w:rPr>
          <w:spacing w:val="-1"/>
        </w:rPr>
        <w:t>r</w:t>
      </w:r>
      <w:r w:rsidR="00B36549">
        <w:rPr>
          <w:spacing w:val="2"/>
        </w:rPr>
        <w:t>t</w:t>
      </w:r>
      <w:r w:rsidR="00B36549">
        <w:t>h</w:t>
      </w:r>
      <w:r w:rsidR="00B36549">
        <w:rPr>
          <w:spacing w:val="-1"/>
        </w:rPr>
        <w:t>we</w:t>
      </w:r>
      <w:r w:rsidR="00B36549">
        <w:t>st P</w:t>
      </w:r>
      <w:r w:rsidR="00B36549">
        <w:rPr>
          <w:spacing w:val="-1"/>
        </w:rPr>
        <w:t>ar</w:t>
      </w:r>
      <w:r w:rsidR="00B36549">
        <w:t xml:space="preserve">k </w:t>
      </w:r>
      <w:r w:rsidR="00B36549">
        <w:rPr>
          <w:spacing w:val="-1"/>
        </w:rPr>
        <w:t>a</w:t>
      </w:r>
      <w:r w:rsidR="00B36549">
        <w:t>nd R</w:t>
      </w:r>
      <w:r w:rsidR="00B36549">
        <w:rPr>
          <w:spacing w:val="-1"/>
        </w:rPr>
        <w:t>ec</w:t>
      </w:r>
      <w:r w:rsidR="00B36549">
        <w:rPr>
          <w:spacing w:val="1"/>
        </w:rPr>
        <w:t>r</w:t>
      </w:r>
      <w:r w:rsidR="00B36549">
        <w:rPr>
          <w:spacing w:val="-1"/>
        </w:rPr>
        <w:t>ea</w:t>
      </w:r>
      <w:r w:rsidR="00B36549">
        <w:t xml:space="preserve">tion </w:t>
      </w:r>
      <w:r w:rsidR="00B36549">
        <w:rPr>
          <w:spacing w:val="-1"/>
        </w:rPr>
        <w:t>D</w:t>
      </w:r>
      <w:r w:rsidR="00B36549">
        <w:t>ist</w:t>
      </w:r>
      <w:r w:rsidR="00B36549">
        <w:rPr>
          <w:spacing w:val="-1"/>
        </w:rPr>
        <w:t>r</w:t>
      </w:r>
      <w:r w:rsidR="00B36549">
        <w:t>i</w:t>
      </w:r>
      <w:r w:rsidR="00B36549">
        <w:rPr>
          <w:spacing w:val="-1"/>
        </w:rPr>
        <w:t>c</w:t>
      </w:r>
      <w:r w:rsidR="00B36549">
        <w:t xml:space="preserve">t </w:t>
      </w:r>
      <w:r w:rsidR="00B36549">
        <w:rPr>
          <w:spacing w:val="2"/>
        </w:rPr>
        <w:t>2</w:t>
      </w:r>
      <w:r w:rsidR="00B36549">
        <w:t>)</w:t>
      </w:r>
      <w:r w:rsidR="00B36549">
        <w:rPr>
          <w:spacing w:val="-1"/>
        </w:rPr>
        <w:t xml:space="preserve"> </w:t>
      </w:r>
      <w:r w:rsidR="00B36549">
        <w:t>h</w:t>
      </w:r>
      <w:r w:rsidR="00B36549">
        <w:rPr>
          <w:spacing w:val="-1"/>
        </w:rPr>
        <w:t>a</w:t>
      </w:r>
      <w:r w:rsidR="00B36549">
        <w:t>s b</w:t>
      </w:r>
      <w:r w:rsidR="00B36549">
        <w:rPr>
          <w:spacing w:val="-1"/>
        </w:rPr>
        <w:t>ee</w:t>
      </w:r>
      <w:r w:rsidR="00B36549">
        <w:t>n in</w:t>
      </w:r>
      <w:r w:rsidR="00B36549">
        <w:rPr>
          <w:spacing w:val="2"/>
        </w:rPr>
        <w:t xml:space="preserve"> </w:t>
      </w:r>
      <w:r w:rsidR="00B36549">
        <w:rPr>
          <w:spacing w:val="-1"/>
        </w:rPr>
        <w:t>e</w:t>
      </w:r>
      <w:r w:rsidR="00B36549">
        <w:rPr>
          <w:spacing w:val="2"/>
        </w:rPr>
        <w:t>x</w:t>
      </w:r>
      <w:r w:rsidR="00B36549">
        <w:t>ist</w:t>
      </w:r>
      <w:r w:rsidR="00B36549">
        <w:rPr>
          <w:spacing w:val="-1"/>
        </w:rPr>
        <w:t>e</w:t>
      </w:r>
      <w:r w:rsidR="00B36549">
        <w:t>n</w:t>
      </w:r>
      <w:r w:rsidR="00B36549">
        <w:rPr>
          <w:spacing w:val="-1"/>
        </w:rPr>
        <w:t>c</w:t>
      </w:r>
      <w:r w:rsidR="00B36549">
        <w:t>e</w:t>
      </w:r>
      <w:r w:rsidR="00B36549">
        <w:rPr>
          <w:spacing w:val="-1"/>
        </w:rPr>
        <w:t xml:space="preserve"> </w:t>
      </w:r>
      <w:r w:rsidR="00B36549">
        <w:t>sin</w:t>
      </w:r>
      <w:r w:rsidR="00B36549">
        <w:rPr>
          <w:spacing w:val="-1"/>
        </w:rPr>
        <w:t>c</w:t>
      </w:r>
      <w:r w:rsidR="00B36549">
        <w:t>e</w:t>
      </w:r>
      <w:r w:rsidR="00B36549">
        <w:rPr>
          <w:spacing w:val="-1"/>
        </w:rPr>
        <w:t xml:space="preserve"> </w:t>
      </w:r>
      <w:r w:rsidR="00B36549">
        <w:t>1979. F</w:t>
      </w:r>
      <w:r w:rsidR="00B36549">
        <w:rPr>
          <w:spacing w:val="-1"/>
        </w:rPr>
        <w:t>r</w:t>
      </w:r>
      <w:r w:rsidR="00B36549">
        <w:t>om the</w:t>
      </w:r>
      <w:r w:rsidR="00B36549">
        <w:rPr>
          <w:spacing w:val="-1"/>
        </w:rPr>
        <w:t xml:space="preserve"> </w:t>
      </w:r>
      <w:r w:rsidR="00B36549">
        <w:t>time</w:t>
      </w:r>
      <w:r w:rsidR="00B36549">
        <w:rPr>
          <w:spacing w:val="-1"/>
        </w:rPr>
        <w:t xml:space="preserve"> </w:t>
      </w:r>
      <w:r w:rsidR="00B36549">
        <w:t>of</w:t>
      </w:r>
      <w:r w:rsidR="00B36549">
        <w:rPr>
          <w:spacing w:val="-1"/>
        </w:rPr>
        <w:t xml:space="preserve"> </w:t>
      </w:r>
      <w:r w:rsidR="00B36549">
        <w:t>the</w:t>
      </w:r>
      <w:r w:rsidR="00B36549">
        <w:rPr>
          <w:spacing w:val="-1"/>
        </w:rPr>
        <w:t xml:space="preserve"> </w:t>
      </w:r>
      <w:r w:rsidR="00B36549">
        <w:t>o</w:t>
      </w:r>
      <w:r w:rsidR="00B36549">
        <w:rPr>
          <w:spacing w:val="-1"/>
        </w:rPr>
        <w:t>r</w:t>
      </w:r>
      <w:r w:rsidR="00B36549">
        <w:rPr>
          <w:spacing w:val="2"/>
        </w:rPr>
        <w:t>i</w:t>
      </w:r>
      <w:r w:rsidR="00B36549">
        <w:rPr>
          <w:spacing w:val="-3"/>
        </w:rPr>
        <w:t>g</w:t>
      </w:r>
      <w:r w:rsidR="00B36549">
        <w:t>in</w:t>
      </w:r>
      <w:r w:rsidR="00B36549">
        <w:rPr>
          <w:spacing w:val="-1"/>
        </w:rPr>
        <w:t>a</w:t>
      </w:r>
      <w:r w:rsidR="00B36549">
        <w:t>l in</w:t>
      </w:r>
      <w:r w:rsidR="00B36549">
        <w:rPr>
          <w:spacing w:val="-1"/>
        </w:rPr>
        <w:t>ce</w:t>
      </w:r>
      <w:r w:rsidR="00B36549">
        <w:t>ption of</w:t>
      </w:r>
      <w:r w:rsidR="00B36549">
        <w:rPr>
          <w:spacing w:val="-1"/>
        </w:rPr>
        <w:t xml:space="preserve"> </w:t>
      </w:r>
      <w:r w:rsidR="00B36549">
        <w:t>the</w:t>
      </w:r>
      <w:r w:rsidR="00B36549">
        <w:rPr>
          <w:spacing w:val="-1"/>
        </w:rPr>
        <w:t xml:space="preserve"> D</w:t>
      </w:r>
      <w:r w:rsidR="00B36549">
        <w:t>ist</w:t>
      </w:r>
      <w:r w:rsidR="00B36549">
        <w:rPr>
          <w:spacing w:val="-1"/>
        </w:rPr>
        <w:t>r</w:t>
      </w:r>
      <w:r w:rsidR="00B36549">
        <w:t>i</w:t>
      </w:r>
      <w:r w:rsidR="00B36549">
        <w:rPr>
          <w:spacing w:val="-1"/>
        </w:rPr>
        <w:t>c</w:t>
      </w:r>
      <w:r w:rsidR="00B36549">
        <w:t>t,</w:t>
      </w:r>
      <w:r w:rsidR="00B36549">
        <w:rPr>
          <w:spacing w:val="2"/>
        </w:rPr>
        <w:t xml:space="preserve"> </w:t>
      </w:r>
      <w:r w:rsidR="00B36549">
        <w:t>the</w:t>
      </w:r>
      <w:r w:rsidR="00B36549">
        <w:rPr>
          <w:spacing w:val="-1"/>
        </w:rPr>
        <w:t xml:space="preserve"> ar</w:t>
      </w:r>
      <w:r w:rsidR="00B36549">
        <w:rPr>
          <w:spacing w:val="1"/>
        </w:rPr>
        <w:t>e</w:t>
      </w:r>
      <w:r w:rsidR="00B36549">
        <w:t>a</w:t>
      </w:r>
      <w:r w:rsidR="00B36549">
        <w:rPr>
          <w:spacing w:val="-1"/>
        </w:rPr>
        <w:t xml:space="preserve"> </w:t>
      </w:r>
      <w:r w:rsidR="00B36549">
        <w:t>h</w:t>
      </w:r>
      <w:r w:rsidR="00B36549">
        <w:rPr>
          <w:spacing w:val="-1"/>
        </w:rPr>
        <w:t>a</w:t>
      </w:r>
      <w:r w:rsidR="00B36549">
        <w:t>s</w:t>
      </w:r>
      <w:r w:rsidR="00B36549">
        <w:rPr>
          <w:spacing w:val="2"/>
        </w:rPr>
        <w:t xml:space="preserve"> </w:t>
      </w:r>
      <w:r w:rsidR="00B36549">
        <w:rPr>
          <w:spacing w:val="-3"/>
        </w:rPr>
        <w:t>g</w:t>
      </w:r>
      <w:r w:rsidR="00B36549">
        <w:t>one</w:t>
      </w:r>
      <w:r w:rsidR="00B36549">
        <w:rPr>
          <w:spacing w:val="-1"/>
        </w:rPr>
        <w:t xml:space="preserve"> </w:t>
      </w:r>
      <w:r w:rsidR="00B36549">
        <w:t>th</w:t>
      </w:r>
      <w:r w:rsidR="00B36549">
        <w:rPr>
          <w:spacing w:val="-1"/>
        </w:rPr>
        <w:t>r</w:t>
      </w:r>
      <w:r w:rsidR="00B36549">
        <w:t>o</w:t>
      </w:r>
      <w:r w:rsidR="00B36549">
        <w:rPr>
          <w:spacing w:val="2"/>
        </w:rPr>
        <w:t>u</w:t>
      </w:r>
      <w:r w:rsidR="00B36549">
        <w:t>gh si</w:t>
      </w:r>
      <w:r w:rsidR="00B36549">
        <w:rPr>
          <w:spacing w:val="-3"/>
        </w:rPr>
        <w:t>g</w:t>
      </w:r>
      <w:r w:rsidR="00B36549">
        <w:t>ni</w:t>
      </w:r>
      <w:r w:rsidR="00B36549">
        <w:rPr>
          <w:spacing w:val="-1"/>
        </w:rPr>
        <w:t>f</w:t>
      </w:r>
      <w:r w:rsidR="00B36549">
        <w:t>i</w:t>
      </w:r>
      <w:r w:rsidR="00B36549">
        <w:rPr>
          <w:spacing w:val="-1"/>
        </w:rPr>
        <w:t>ca</w:t>
      </w:r>
      <w:r w:rsidR="00B36549">
        <w:t>nt</w:t>
      </w:r>
      <w:r w:rsidR="00B36549">
        <w:rPr>
          <w:spacing w:val="2"/>
        </w:rPr>
        <w:t xml:space="preserve"> </w:t>
      </w:r>
      <w:r w:rsidR="00B36549">
        <w:rPr>
          <w:spacing w:val="-1"/>
        </w:rPr>
        <w:t>c</w:t>
      </w:r>
      <w:r w:rsidR="00B36549">
        <w:t>h</w:t>
      </w:r>
      <w:r w:rsidR="00B36549">
        <w:rPr>
          <w:spacing w:val="-1"/>
        </w:rPr>
        <w:t>a</w:t>
      </w:r>
      <w:r w:rsidR="00B36549">
        <w:rPr>
          <w:spacing w:val="2"/>
        </w:rPr>
        <w:t>n</w:t>
      </w:r>
      <w:r w:rsidR="00B36549">
        <w:rPr>
          <w:spacing w:val="-3"/>
        </w:rPr>
        <w:t>g</w:t>
      </w:r>
      <w:r w:rsidR="00B36549">
        <w:t>e</w:t>
      </w:r>
      <w:r w:rsidR="00B36549">
        <w:rPr>
          <w:spacing w:val="1"/>
        </w:rPr>
        <w:t xml:space="preserve"> </w:t>
      </w:r>
      <w:r w:rsidR="00B36549">
        <w:rPr>
          <w:spacing w:val="-1"/>
        </w:rPr>
        <w:t>a</w:t>
      </w:r>
      <w:r w:rsidR="00B36549">
        <w:t>nd</w:t>
      </w:r>
      <w:r w:rsidR="00B36549">
        <w:rPr>
          <w:spacing w:val="2"/>
        </w:rPr>
        <w:t xml:space="preserve"> </w:t>
      </w:r>
      <w:r w:rsidR="00B36549">
        <w:rPr>
          <w:spacing w:val="-3"/>
        </w:rPr>
        <w:t>g</w:t>
      </w:r>
      <w:r w:rsidR="00B36549">
        <w:rPr>
          <w:spacing w:val="-1"/>
        </w:rPr>
        <w:t>r</w:t>
      </w:r>
      <w:r w:rsidR="00B36549">
        <w:rPr>
          <w:spacing w:val="2"/>
        </w:rPr>
        <w:t>o</w:t>
      </w:r>
      <w:r w:rsidR="00B36549">
        <w:rPr>
          <w:spacing w:val="-1"/>
        </w:rPr>
        <w:t>w</w:t>
      </w:r>
      <w:r w:rsidR="00B36549">
        <w:t xml:space="preserve">th. </w:t>
      </w:r>
      <w:r w:rsidR="00B36549">
        <w:rPr>
          <w:spacing w:val="-1"/>
        </w:rPr>
        <w:t>Ne</w:t>
      </w:r>
      <w:r w:rsidR="00B36549">
        <w:t>w hom</w:t>
      </w:r>
      <w:r w:rsidR="00B36549">
        <w:rPr>
          <w:spacing w:val="-1"/>
        </w:rPr>
        <w:t>e</w:t>
      </w:r>
      <w:r w:rsidR="00B36549">
        <w:t>s, busin</w:t>
      </w:r>
      <w:r w:rsidR="00B36549">
        <w:rPr>
          <w:spacing w:val="-1"/>
        </w:rPr>
        <w:t>e</w:t>
      </w:r>
      <w:r w:rsidR="00B36549">
        <w:t>ss</w:t>
      </w:r>
      <w:r w:rsidR="00B36549">
        <w:rPr>
          <w:spacing w:val="-1"/>
        </w:rPr>
        <w:t>e</w:t>
      </w:r>
      <w:r w:rsidR="00B36549">
        <w:t xml:space="preserve">s </w:t>
      </w:r>
      <w:r w:rsidR="00B36549">
        <w:rPr>
          <w:spacing w:val="-1"/>
        </w:rPr>
        <w:t>a</w:t>
      </w:r>
      <w:r w:rsidR="00B36549">
        <w:t xml:space="preserve">nd </w:t>
      </w:r>
      <w:r w:rsidR="00B36549">
        <w:rPr>
          <w:spacing w:val="-1"/>
        </w:rPr>
        <w:t>r</w:t>
      </w:r>
      <w:r w:rsidR="00B36549">
        <w:rPr>
          <w:spacing w:val="1"/>
        </w:rPr>
        <w:t>e</w:t>
      </w:r>
      <w:r w:rsidR="00B36549">
        <w:t>sid</w:t>
      </w:r>
      <w:r w:rsidR="00B36549">
        <w:rPr>
          <w:spacing w:val="-1"/>
        </w:rPr>
        <w:t>e</w:t>
      </w:r>
      <w:r w:rsidR="00B36549">
        <w:t>nts h</w:t>
      </w:r>
      <w:r w:rsidR="00B36549">
        <w:rPr>
          <w:spacing w:val="-1"/>
        </w:rPr>
        <w:t>a</w:t>
      </w:r>
      <w:r w:rsidR="00B36549">
        <w:t>ve</w:t>
      </w:r>
      <w:r w:rsidR="00B36549">
        <w:rPr>
          <w:spacing w:val="-1"/>
        </w:rPr>
        <w:t xml:space="preserve"> c</w:t>
      </w:r>
      <w:r w:rsidR="00B36549">
        <w:t>ome</w:t>
      </w:r>
      <w:r w:rsidR="00B36549">
        <w:rPr>
          <w:spacing w:val="-1"/>
        </w:rPr>
        <w:t xml:space="preserve"> </w:t>
      </w:r>
      <w:r w:rsidR="00B36549">
        <w:t>to the</w:t>
      </w:r>
      <w:r w:rsidR="00B36549">
        <w:rPr>
          <w:spacing w:val="1"/>
        </w:rPr>
        <w:t xml:space="preserve"> </w:t>
      </w:r>
      <w:r w:rsidR="00B36549">
        <w:rPr>
          <w:spacing w:val="-1"/>
        </w:rPr>
        <w:t>are</w:t>
      </w:r>
      <w:r w:rsidR="00B36549">
        <w:t>a</w:t>
      </w:r>
      <w:r w:rsidR="00B36549">
        <w:rPr>
          <w:spacing w:val="-1"/>
        </w:rPr>
        <w:t xml:space="preserve"> </w:t>
      </w:r>
      <w:r w:rsidR="00B36549">
        <w:t>o</w:t>
      </w:r>
      <w:r w:rsidR="00B36549">
        <w:rPr>
          <w:spacing w:val="2"/>
        </w:rPr>
        <w:t>v</w:t>
      </w:r>
      <w:r w:rsidR="00B36549">
        <w:rPr>
          <w:spacing w:val="-1"/>
        </w:rPr>
        <w:t>e</w:t>
      </w:r>
      <w:r w:rsidR="00B36549">
        <w:t>r</w:t>
      </w:r>
      <w:r w:rsidR="00B36549">
        <w:rPr>
          <w:spacing w:val="-1"/>
        </w:rPr>
        <w:t xml:space="preserve"> </w:t>
      </w:r>
      <w:r w:rsidR="00B36549">
        <w:t>the</w:t>
      </w:r>
      <w:r w:rsidR="00B36549">
        <w:rPr>
          <w:spacing w:val="-1"/>
        </w:rPr>
        <w:t xml:space="preserve"> </w:t>
      </w:r>
      <w:r w:rsidR="00B36549">
        <w:rPr>
          <w:spacing w:val="2"/>
        </w:rPr>
        <w:t>p</w:t>
      </w:r>
      <w:r w:rsidR="00B36549">
        <w:rPr>
          <w:spacing w:val="-1"/>
        </w:rPr>
        <w:t>a</w:t>
      </w:r>
      <w:r w:rsidR="00B36549">
        <w:t>st t</w:t>
      </w:r>
      <w:r w:rsidR="00B36549">
        <w:rPr>
          <w:spacing w:val="-1"/>
        </w:rPr>
        <w:t>we</w:t>
      </w:r>
      <w:r w:rsidR="00B36549">
        <w:t>n</w:t>
      </w:r>
      <w:r w:rsidR="00B36549">
        <w:rPr>
          <w:spacing w:val="5"/>
        </w:rPr>
        <w:t>t</w:t>
      </w:r>
      <w:r w:rsidR="00B36549">
        <w:t>y</w:t>
      </w:r>
      <w:r w:rsidR="00B36549">
        <w:rPr>
          <w:spacing w:val="-12"/>
        </w:rPr>
        <w:t xml:space="preserve"> </w:t>
      </w:r>
      <w:r w:rsidR="00B36549">
        <w:rPr>
          <w:spacing w:val="-5"/>
        </w:rPr>
        <w:t>y</w:t>
      </w:r>
      <w:r w:rsidR="00B36549">
        <w:rPr>
          <w:spacing w:val="1"/>
        </w:rPr>
        <w:t>ea</w:t>
      </w:r>
      <w:r w:rsidR="00B36549">
        <w:rPr>
          <w:spacing w:val="-1"/>
        </w:rPr>
        <w:t>r</w:t>
      </w:r>
      <w:r w:rsidR="00B36549">
        <w:t>s. R</w:t>
      </w:r>
      <w:r w:rsidR="00B36549">
        <w:rPr>
          <w:spacing w:val="-1"/>
        </w:rPr>
        <w:t>e</w:t>
      </w:r>
      <w:r w:rsidR="00B36549">
        <w:t>sid</w:t>
      </w:r>
      <w:r w:rsidR="00B36549">
        <w:rPr>
          <w:spacing w:val="-1"/>
        </w:rPr>
        <w:t>e</w:t>
      </w:r>
      <w:r w:rsidR="00B36549">
        <w:t xml:space="preserve">nts </w:t>
      </w:r>
      <w:r w:rsidR="00B36549">
        <w:rPr>
          <w:spacing w:val="-1"/>
        </w:rPr>
        <w:t>w</w:t>
      </w:r>
      <w:r w:rsidR="00B36549">
        <w:t>ith a</w:t>
      </w:r>
      <w:r w:rsidR="00B36549">
        <w:rPr>
          <w:spacing w:val="-1"/>
        </w:rPr>
        <w:t xml:space="preserve"> w</w:t>
      </w:r>
      <w:r w:rsidR="00B36549">
        <w:t>ide</w:t>
      </w:r>
      <w:r w:rsidR="00B36549">
        <w:rPr>
          <w:spacing w:val="-1"/>
        </w:rPr>
        <w:t xml:space="preserve"> r</w:t>
      </w:r>
      <w:r w:rsidR="00B36549">
        <w:rPr>
          <w:spacing w:val="1"/>
        </w:rPr>
        <w:t>a</w:t>
      </w:r>
      <w:r w:rsidR="00B36549">
        <w:t>n</w:t>
      </w:r>
      <w:r w:rsidR="00B36549">
        <w:rPr>
          <w:spacing w:val="-3"/>
        </w:rPr>
        <w:t>g</w:t>
      </w:r>
      <w:r w:rsidR="00B36549">
        <w:t>e</w:t>
      </w:r>
      <w:r w:rsidR="00B36549">
        <w:rPr>
          <w:spacing w:val="-1"/>
        </w:rPr>
        <w:t xml:space="preserve"> </w:t>
      </w:r>
      <w:r w:rsidR="00B36549">
        <w:rPr>
          <w:spacing w:val="2"/>
        </w:rPr>
        <w:t>o</w:t>
      </w:r>
      <w:r w:rsidR="00B36549">
        <w:t>f</w:t>
      </w:r>
      <w:r w:rsidR="00B36549">
        <w:rPr>
          <w:spacing w:val="-1"/>
        </w:rPr>
        <w:t xml:space="preserve"> </w:t>
      </w:r>
      <w:r w:rsidR="00B36549">
        <w:rPr>
          <w:spacing w:val="1"/>
        </w:rPr>
        <w:t>a</w:t>
      </w:r>
      <w:r w:rsidR="00B36549">
        <w:rPr>
          <w:spacing w:val="-3"/>
        </w:rPr>
        <w:t>g</w:t>
      </w:r>
      <w:r w:rsidR="00B36549">
        <w:rPr>
          <w:spacing w:val="-1"/>
        </w:rPr>
        <w:t>e</w:t>
      </w:r>
      <w:r w:rsidR="00B36549">
        <w:t>s</w:t>
      </w:r>
      <w:r w:rsidR="00B36549">
        <w:rPr>
          <w:spacing w:val="2"/>
        </w:rPr>
        <w:t xml:space="preserve"> </w:t>
      </w:r>
      <w:r w:rsidR="00B36549">
        <w:rPr>
          <w:spacing w:val="-1"/>
        </w:rPr>
        <w:t>a</w:t>
      </w:r>
      <w:r w:rsidR="00B36549">
        <w:t>nd int</w:t>
      </w:r>
      <w:r w:rsidR="00B36549">
        <w:rPr>
          <w:spacing w:val="-1"/>
        </w:rPr>
        <w:t>ere</w:t>
      </w:r>
      <w:r w:rsidR="00B36549">
        <w:t>sts</w:t>
      </w:r>
      <w:r w:rsidR="00B36549">
        <w:rPr>
          <w:spacing w:val="2"/>
        </w:rPr>
        <w:t xml:space="preserve"> </w:t>
      </w:r>
      <w:r w:rsidR="00B36549">
        <w:t>now</w:t>
      </w:r>
      <w:r w:rsidR="00B36549">
        <w:rPr>
          <w:spacing w:val="-1"/>
        </w:rPr>
        <w:t xml:space="preserve"> </w:t>
      </w:r>
      <w:r w:rsidR="00B36549">
        <w:t>live</w:t>
      </w:r>
      <w:r w:rsidR="00B36549">
        <w:rPr>
          <w:spacing w:val="-1"/>
        </w:rPr>
        <w:t xml:space="preserve"> </w:t>
      </w:r>
      <w:r w:rsidR="00B36549">
        <w:t>in the</w:t>
      </w:r>
      <w:r w:rsidR="00B36549">
        <w:rPr>
          <w:spacing w:val="-1"/>
        </w:rPr>
        <w:t xml:space="preserve"> D</w:t>
      </w:r>
      <w:r w:rsidR="00B36549">
        <w:t>ist</w:t>
      </w:r>
      <w:r w:rsidR="00B36549">
        <w:rPr>
          <w:spacing w:val="-1"/>
        </w:rPr>
        <w:t>r</w:t>
      </w:r>
      <w:r w:rsidR="00B36549">
        <w:t>i</w:t>
      </w:r>
      <w:r w:rsidR="00B36549">
        <w:rPr>
          <w:spacing w:val="-1"/>
        </w:rPr>
        <w:t>c</w:t>
      </w:r>
      <w:r w:rsidR="00B36549">
        <w:t>t. P</w:t>
      </w:r>
      <w:r w:rsidR="00B36549">
        <w:rPr>
          <w:spacing w:val="-1"/>
        </w:rPr>
        <w:t>ar</w:t>
      </w:r>
      <w:r w:rsidR="00B36549">
        <w:t xml:space="preserve">k, </w:t>
      </w:r>
      <w:r w:rsidR="00B36549">
        <w:rPr>
          <w:spacing w:val="-1"/>
        </w:rPr>
        <w:t>re</w:t>
      </w:r>
      <w:r w:rsidR="00B36549">
        <w:rPr>
          <w:spacing w:val="1"/>
        </w:rPr>
        <w:t>c</w:t>
      </w:r>
      <w:r w:rsidR="00B36549">
        <w:rPr>
          <w:spacing w:val="-1"/>
        </w:rPr>
        <w:t>rea</w:t>
      </w:r>
      <w:r w:rsidR="00B36549">
        <w:t xml:space="preserve">tion </w:t>
      </w:r>
      <w:r w:rsidR="00B36549">
        <w:rPr>
          <w:spacing w:val="-1"/>
        </w:rPr>
        <w:t>a</w:t>
      </w:r>
      <w:r w:rsidR="00B36549">
        <w:t>nd t</w:t>
      </w:r>
      <w:r w:rsidR="00B36549">
        <w:rPr>
          <w:spacing w:val="-1"/>
        </w:rPr>
        <w:t>ra</w:t>
      </w:r>
      <w:r w:rsidR="00B36549">
        <w:t>il n</w:t>
      </w:r>
      <w:r w:rsidR="00B36549">
        <w:rPr>
          <w:spacing w:val="-1"/>
        </w:rPr>
        <w:t>ee</w:t>
      </w:r>
      <w:r w:rsidR="00B36549">
        <w:t>ds</w:t>
      </w:r>
      <w:r w:rsidR="00B36549">
        <w:rPr>
          <w:spacing w:val="2"/>
        </w:rPr>
        <w:t xml:space="preserve"> </w:t>
      </w:r>
      <w:r w:rsidR="00B36549">
        <w:rPr>
          <w:spacing w:val="-1"/>
        </w:rPr>
        <w:t>ar</w:t>
      </w:r>
      <w:r w:rsidR="00B36549">
        <w:t>e</w:t>
      </w:r>
      <w:r w:rsidR="00B36549">
        <w:rPr>
          <w:spacing w:val="-1"/>
        </w:rPr>
        <w:t xml:space="preserve"> </w:t>
      </w:r>
      <w:r w:rsidR="00B36549">
        <w:rPr>
          <w:spacing w:val="2"/>
        </w:rPr>
        <w:t>b</w:t>
      </w:r>
      <w:r w:rsidR="00B36549">
        <w:rPr>
          <w:spacing w:val="-1"/>
        </w:rPr>
        <w:t>ec</w:t>
      </w:r>
      <w:r w:rsidR="00B36549">
        <w:t>o</w:t>
      </w:r>
      <w:r w:rsidR="00B36549">
        <w:rPr>
          <w:spacing w:val="2"/>
        </w:rPr>
        <w:t>m</w:t>
      </w:r>
      <w:r w:rsidR="00B36549">
        <w:t>ing</w:t>
      </w:r>
      <w:r w:rsidR="00B36549">
        <w:rPr>
          <w:spacing w:val="-3"/>
        </w:rPr>
        <w:t xml:space="preserve"> </w:t>
      </w:r>
      <w:r w:rsidR="00B36549">
        <w:t>v</w:t>
      </w:r>
      <w:r w:rsidR="00B36549">
        <w:rPr>
          <w:spacing w:val="-1"/>
        </w:rPr>
        <w:t>e</w:t>
      </w:r>
      <w:r w:rsidR="00B36549">
        <w:rPr>
          <w:spacing w:val="4"/>
        </w:rPr>
        <w:t>r</w:t>
      </w:r>
      <w:r w:rsidR="00B36549">
        <w:t>y</w:t>
      </w:r>
      <w:r w:rsidR="00B36549">
        <w:rPr>
          <w:spacing w:val="-5"/>
        </w:rPr>
        <w:t xml:space="preserve"> </w:t>
      </w:r>
      <w:r w:rsidR="00B36549">
        <w:t>impo</w:t>
      </w:r>
      <w:r w:rsidR="00B36549">
        <w:rPr>
          <w:spacing w:val="-1"/>
        </w:rPr>
        <w:t>r</w:t>
      </w:r>
      <w:r w:rsidR="00B36549">
        <w:rPr>
          <w:spacing w:val="2"/>
        </w:rPr>
        <w:t>t</w:t>
      </w:r>
      <w:r w:rsidR="00B36549">
        <w:rPr>
          <w:spacing w:val="-1"/>
        </w:rPr>
        <w:t>a</w:t>
      </w:r>
      <w:r w:rsidR="00B36549">
        <w:t>nt to the</w:t>
      </w:r>
      <w:r w:rsidR="00B36549">
        <w:rPr>
          <w:spacing w:val="-1"/>
        </w:rPr>
        <w:t xml:space="preserve"> </w:t>
      </w:r>
      <w:r w:rsidR="00B36549">
        <w:t>liv</w:t>
      </w:r>
      <w:r w:rsidR="00B36549">
        <w:rPr>
          <w:spacing w:val="-1"/>
        </w:rPr>
        <w:t>a</w:t>
      </w:r>
      <w:r w:rsidR="00B36549">
        <w:t>bili</w:t>
      </w:r>
      <w:r w:rsidR="00B36549">
        <w:rPr>
          <w:spacing w:val="2"/>
        </w:rPr>
        <w:t>t</w:t>
      </w:r>
      <w:r w:rsidR="00B36549">
        <w:t>y</w:t>
      </w:r>
      <w:r w:rsidR="00B36549">
        <w:rPr>
          <w:spacing w:val="-8"/>
        </w:rPr>
        <w:t xml:space="preserve"> </w:t>
      </w:r>
      <w:r w:rsidR="00B36549">
        <w:t>of</w:t>
      </w:r>
      <w:r w:rsidR="00B36549">
        <w:rPr>
          <w:spacing w:val="-1"/>
        </w:rPr>
        <w:t xml:space="preserve"> </w:t>
      </w:r>
      <w:r w:rsidR="00B36549">
        <w:t>t</w:t>
      </w:r>
      <w:r w:rsidR="00B36549">
        <w:rPr>
          <w:spacing w:val="2"/>
        </w:rPr>
        <w:t>h</w:t>
      </w:r>
      <w:r w:rsidR="00B36549">
        <w:t>e</w:t>
      </w:r>
      <w:r w:rsidR="00B36549">
        <w:rPr>
          <w:spacing w:val="-25"/>
        </w:rPr>
        <w:t xml:space="preserve"> </w:t>
      </w:r>
      <w:r w:rsidR="00B36549">
        <w:rPr>
          <w:spacing w:val="1"/>
        </w:rPr>
        <w:t>re</w:t>
      </w:r>
      <w:r w:rsidR="00B36549">
        <w:rPr>
          <w:spacing w:val="-3"/>
        </w:rPr>
        <w:t>g</w:t>
      </w:r>
      <w:r w:rsidR="00B36549">
        <w:t>ion</w:t>
      </w:r>
      <w:r>
        <w:t>. . .</w:t>
      </w:r>
      <w:r w:rsidR="00B36549">
        <w:t xml:space="preserve"> (p. 18).</w:t>
      </w:r>
    </w:p>
    <w:p w:rsidR="00364E8F" w:rsidRDefault="00C559DA" w:rsidP="00B36549">
      <w:pPr>
        <w:pStyle w:val="BodyText"/>
      </w:pPr>
      <w:r>
        <w:t xml:space="preserve">The </w:t>
      </w:r>
      <w:r w:rsidR="007A6345">
        <w:rPr>
          <w:i/>
        </w:rPr>
        <w:t>Master Plan</w:t>
      </w:r>
      <w:r>
        <w:rPr>
          <w:i/>
        </w:rPr>
        <w:t xml:space="preserve"> </w:t>
      </w:r>
      <w:r>
        <w:t>contains a facility inventory identifying park</w:t>
      </w:r>
      <w:r w:rsidR="009A245A">
        <w:t xml:space="preserve"> and recreation facilities</w:t>
      </w:r>
      <w:r>
        <w:t xml:space="preserve"> within the District (pp. 24-</w:t>
      </w:r>
      <w:r w:rsidR="00B36549">
        <w:t xml:space="preserve">34), recommended LOS standards (pp. 20-21), funding options and methods (p. 35), and a </w:t>
      </w:r>
      <w:r w:rsidR="009A245A">
        <w:t xml:space="preserve">six-year </w:t>
      </w:r>
      <w:r w:rsidR="00B36549">
        <w:t>capital improvement program that includes $1.5 million in trail connection</w:t>
      </w:r>
      <w:r w:rsidR="009A245A">
        <w:t xml:space="preserve"> improvement projects</w:t>
      </w:r>
      <w:r w:rsidR="007A6345">
        <w:t xml:space="preserve"> in 2016-2017</w:t>
      </w:r>
      <w:r w:rsidR="009A245A">
        <w:t xml:space="preserve"> (pp. 36-37</w:t>
      </w:r>
      <w:r w:rsidR="00B36549">
        <w:t>).</w:t>
      </w:r>
      <w:r w:rsidR="00364E8F">
        <w:t xml:space="preserve">  </w:t>
      </w:r>
    </w:p>
    <w:p w:rsidR="00C559DA" w:rsidRDefault="00364E8F" w:rsidP="0072427E">
      <w:pPr>
        <w:pStyle w:val="BodyText"/>
      </w:pPr>
      <w:r>
        <w:t xml:space="preserve">The voters of the District approved </w:t>
      </w:r>
      <w:r w:rsidR="00DF4BD6">
        <w:t xml:space="preserve">a </w:t>
      </w:r>
      <w:r w:rsidRPr="00364E8F">
        <w:t xml:space="preserve">proposition </w:t>
      </w:r>
      <w:r w:rsidR="00DF4BD6">
        <w:t xml:space="preserve">on November 5, 2013 </w:t>
      </w:r>
      <w:r w:rsidRPr="00364E8F">
        <w:t>to assess a regular p</w:t>
      </w:r>
      <w:r w:rsidR="00DF4BD6">
        <w:t xml:space="preserve">roperty tax levy for a four </w:t>
      </w:r>
      <w:r w:rsidRPr="00364E8F">
        <w:t>year period (2014-17) of $0.10 per $1,000.00 of assessed valuation to fund staffing, operations, maintenance, and capital improvements to improve recreation and leisure time activities and opportunities for people of all ages in the greater Blaine-Birch Bay area.</w:t>
      </w:r>
    </w:p>
    <w:p w:rsidR="0072427E" w:rsidRDefault="00DF4BD6" w:rsidP="0072427E">
      <w:pPr>
        <w:pStyle w:val="Heading4"/>
      </w:pPr>
      <w:r>
        <w:lastRenderedPageBreak/>
        <w:t xml:space="preserve">Lynden Regional Parks and Recreation District </w:t>
      </w:r>
      <w:r w:rsidR="009A245A">
        <w:t>3</w:t>
      </w:r>
    </w:p>
    <w:p w:rsidR="005D71BD" w:rsidRDefault="00DF4BD6" w:rsidP="005D71BD">
      <w:pPr>
        <w:pStyle w:val="BodyText"/>
      </w:pPr>
      <w:r>
        <w:t>The Lynden Regional Parks and Recreation District is currently in the process of updating their master plan.  The voters of the District</w:t>
      </w:r>
      <w:r w:rsidR="009A245A">
        <w:t xml:space="preserve"> did not approve</w:t>
      </w:r>
      <w:r>
        <w:t xml:space="preserve"> a </w:t>
      </w:r>
      <w:r w:rsidRPr="00364E8F">
        <w:t xml:space="preserve">proposition </w:t>
      </w:r>
      <w:r w:rsidR="008F78CE">
        <w:t>on November 6</w:t>
      </w:r>
      <w:r>
        <w:t>,</w:t>
      </w:r>
      <w:r w:rsidR="008F78CE">
        <w:t xml:space="preserve"> 2012 that would have authorized</w:t>
      </w:r>
      <w:r w:rsidR="009A245A">
        <w:t xml:space="preserve"> the District </w:t>
      </w:r>
      <w:r w:rsidR="007A6345">
        <w:t xml:space="preserve">to purchase an </w:t>
      </w:r>
      <w:r w:rsidR="008F78CE" w:rsidRPr="008F78CE">
        <w:t>indoor recreation facility, to issue $9,500,000 of general obligation bonds maturing within a maximum term of 30 years to finance acquisition of such facility, and to levy property taxes annually in excess of regular property tax levies to repay such bonds</w:t>
      </w:r>
      <w:r w:rsidR="009A245A">
        <w:t>.</w:t>
      </w:r>
    </w:p>
    <w:p w:rsidR="00E16094" w:rsidRDefault="00E16094"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341AEE" w:rsidRDefault="00341AEE" w:rsidP="005D71BD">
      <w:pPr>
        <w:pStyle w:val="BodyText"/>
      </w:pPr>
    </w:p>
    <w:p w:rsidR="008F78CE" w:rsidRDefault="008F78CE" w:rsidP="005D71BD">
      <w:pPr>
        <w:pStyle w:val="BodyText"/>
      </w:pPr>
    </w:p>
    <w:p w:rsidR="008F78CE" w:rsidRDefault="008F78CE" w:rsidP="005D71BD">
      <w:pPr>
        <w:pStyle w:val="BodyText"/>
      </w:pPr>
    </w:p>
    <w:p w:rsidR="008F78CE" w:rsidRDefault="008F78CE" w:rsidP="005D71BD">
      <w:pPr>
        <w:pStyle w:val="BodyText"/>
      </w:pPr>
    </w:p>
    <w:p w:rsidR="008F78CE" w:rsidRDefault="008F78CE" w:rsidP="005D71BD">
      <w:pPr>
        <w:pStyle w:val="BodyText"/>
      </w:pPr>
    </w:p>
    <w:p w:rsidR="008F78CE" w:rsidRDefault="008F78CE" w:rsidP="005D71BD">
      <w:pPr>
        <w:pStyle w:val="BodyText"/>
      </w:pPr>
    </w:p>
    <w:p w:rsidR="008F78CE" w:rsidRDefault="008F78CE" w:rsidP="005D71BD">
      <w:pPr>
        <w:pStyle w:val="BodyText"/>
      </w:pPr>
    </w:p>
    <w:p w:rsidR="008F78CE" w:rsidRDefault="008F78CE" w:rsidP="005D71BD">
      <w:pPr>
        <w:pStyle w:val="BodyText"/>
      </w:pPr>
    </w:p>
    <w:p w:rsidR="008F78CE" w:rsidRPr="005D71BD" w:rsidRDefault="008F78CE" w:rsidP="005D71BD">
      <w:pPr>
        <w:pStyle w:val="BodyText"/>
      </w:pPr>
    </w:p>
    <w:p w:rsidR="00037D4F" w:rsidRDefault="00037D4F" w:rsidP="00037D4F">
      <w:pPr>
        <w:pStyle w:val="TOAHeading"/>
      </w:pPr>
      <w:bookmarkStart w:id="9" w:name="_Toc245621828"/>
      <w:r>
        <w:lastRenderedPageBreak/>
        <w:t>Chapter 3 – Maintenance &amp; Operations</w:t>
      </w:r>
    </w:p>
    <w:p w:rsidR="003D394F" w:rsidRDefault="003D394F" w:rsidP="003D394F">
      <w:pPr>
        <w:pStyle w:val="Heading3"/>
      </w:pPr>
      <w:r>
        <w:t>Inventory of Current Facilities</w:t>
      </w:r>
    </w:p>
    <w:p w:rsidR="003D394F" w:rsidRDefault="003D394F" w:rsidP="003D394F">
      <w:pPr>
        <w:pStyle w:val="BodyText"/>
      </w:pPr>
      <w:r>
        <w:t>The 2016 inventory of County maintenance and operation</w:t>
      </w:r>
      <w:r w:rsidR="00FD36C8">
        <w:t>s/</w:t>
      </w:r>
      <w:r>
        <w:t xml:space="preserve">facilities </w:t>
      </w:r>
      <w:r w:rsidR="00FD36C8">
        <w:t xml:space="preserve">management space </w:t>
      </w:r>
      <w:r w:rsidR="00B817B4">
        <w:t>is 44,41</w:t>
      </w:r>
      <w:r w:rsidR="00FD36C8">
        <w:t xml:space="preserve">1 square feet </w:t>
      </w:r>
      <w:r w:rsidR="00B817B4">
        <w:t>located at</w:t>
      </w:r>
      <w:r w:rsidR="00EE59AE">
        <w:t xml:space="preserve"> 901 W. Smith Rd. (the Central S</w:t>
      </w:r>
      <w:r w:rsidR="00B817B4">
        <w:t>hop), 316 Lottie St. and 2030 Division Street, as shown</w:t>
      </w:r>
      <w:r>
        <w:t xml:space="preserve"> in </w:t>
      </w:r>
      <w:r w:rsidR="00923A48">
        <w:t xml:space="preserve">more detail </w:t>
      </w:r>
      <w:r w:rsidR="00FD36C8">
        <w:t xml:space="preserve">in </w:t>
      </w:r>
      <w:r>
        <w:t xml:space="preserve">the </w:t>
      </w:r>
      <w:r w:rsidRPr="00854D43">
        <w:rPr>
          <w:i/>
        </w:rPr>
        <w:t>Six-Year Capital Improvement Program for Whatcom County Facilities</w:t>
      </w:r>
      <w:r>
        <w:t>.</w:t>
      </w:r>
    </w:p>
    <w:p w:rsidR="003D394F" w:rsidRDefault="003D394F" w:rsidP="003D394F">
      <w:pPr>
        <w:pStyle w:val="Heading3"/>
      </w:pPr>
      <w:r>
        <w:t>Future Needs</w:t>
      </w:r>
    </w:p>
    <w:p w:rsidR="003D394F" w:rsidRDefault="003D394F" w:rsidP="00B858B8">
      <w:pPr>
        <w:pStyle w:val="BodyText"/>
      </w:pPr>
      <w:r>
        <w:t xml:space="preserve">Chapter 4 of the Whatcom County Comprehensive Plan does not contain LOS standards for maintenance and operations facilities.  Rather, it contains goals and policies supportive of providing adequate County facilities. </w:t>
      </w:r>
    </w:p>
    <w:p w:rsidR="00B858B8" w:rsidRDefault="00B858B8" w:rsidP="00B858B8">
      <w:pPr>
        <w:pStyle w:val="Heading3"/>
      </w:pPr>
      <w:bookmarkStart w:id="10" w:name="_Toc245621832"/>
      <w:r>
        <w:t>Capital Projects and Funding</w:t>
      </w:r>
      <w:bookmarkEnd w:id="10"/>
    </w:p>
    <w:p w:rsidR="00B858B8" w:rsidRDefault="00B858B8" w:rsidP="00B858B8">
      <w:pPr>
        <w:pStyle w:val="BodyText"/>
      </w:pPr>
      <w:r>
        <w:t xml:space="preserve">The following capital </w:t>
      </w:r>
      <w:r w:rsidR="008C763A">
        <w:t xml:space="preserve">improvement </w:t>
      </w:r>
      <w:r>
        <w:t xml:space="preserve">projects </w:t>
      </w:r>
      <w:r w:rsidR="00923A48">
        <w:t xml:space="preserve">are anticipated in </w:t>
      </w:r>
      <w:r w:rsidR="00FD36C8">
        <w:t>the six-year planning period:  A new v</w:t>
      </w:r>
      <w:r w:rsidR="00923A48">
        <w:t>actor truck garage and the Central Shop exhaust system</w:t>
      </w:r>
      <w:r>
        <w:t>.</w:t>
      </w:r>
      <w:r w:rsidR="00923A48">
        <w:t xml:space="preserve">  These improvements wil</w:t>
      </w:r>
      <w:r w:rsidR="0004415C">
        <w:t>l cost approximately $400,000, which will be paid with the funding sources</w:t>
      </w:r>
      <w:r w:rsidR="00923A48">
        <w:t xml:space="preserve"> shown in the </w:t>
      </w:r>
      <w:r w:rsidR="00923A48" w:rsidRPr="00854D43">
        <w:rPr>
          <w:i/>
        </w:rPr>
        <w:t>Six-Year Capital Improvement Program for Whatcom County Facilities</w:t>
      </w:r>
      <w:r w:rsidR="00923A48">
        <w:t>.</w:t>
      </w:r>
    </w:p>
    <w:p w:rsidR="00B858B8" w:rsidRDefault="00B858B8" w:rsidP="00B858B8">
      <w:pPr>
        <w:pStyle w:val="BodyText"/>
      </w:pPr>
      <w:r>
        <w:t xml:space="preserve">There are no </w:t>
      </w:r>
      <w:r w:rsidR="008C763A">
        <w:t xml:space="preserve">capital </w:t>
      </w:r>
      <w:r>
        <w:t xml:space="preserve">improvement projects </w:t>
      </w:r>
      <w:r w:rsidR="00A303CA">
        <w:t xml:space="preserve">currently </w:t>
      </w:r>
      <w:r>
        <w:t>i</w:t>
      </w:r>
      <w:r w:rsidR="0004415C">
        <w:t xml:space="preserve">dentified that would add </w:t>
      </w:r>
      <w:r>
        <w:t xml:space="preserve">maintenance and </w:t>
      </w:r>
      <w:r w:rsidR="00824038">
        <w:t xml:space="preserve">operations space within the </w:t>
      </w:r>
      <w:r w:rsidR="00923A48">
        <w:t>7 to 20 year</w:t>
      </w:r>
      <w:r>
        <w:t xml:space="preserve"> planning period. </w:t>
      </w:r>
      <w:r w:rsidR="008C763A">
        <w:t xml:space="preserve">However, </w:t>
      </w:r>
      <w:r w:rsidR="00C35CC4">
        <w:t>the County will monitor</w:t>
      </w:r>
      <w:r w:rsidR="008C763A">
        <w:t xml:space="preserve"> the adequacy of maintenance and operation facilities throughout the planning period and consider capital improvements if warranted in the future.  M</w:t>
      </w:r>
      <w:r w:rsidR="00923A48">
        <w:t xml:space="preserve">aintenance projects </w:t>
      </w:r>
      <w:r w:rsidR="008C763A">
        <w:t xml:space="preserve">will be undertaken as needed.  </w:t>
      </w:r>
    </w:p>
    <w:p w:rsidR="0072427E" w:rsidRDefault="0072427E">
      <w:pPr>
        <w:pStyle w:val="Heading2"/>
        <w:rPr>
          <w:b w:val="0"/>
        </w:rPr>
      </w:pPr>
    </w:p>
    <w:p w:rsidR="005D71BD" w:rsidRDefault="005D71BD" w:rsidP="006E72FF">
      <w:pPr>
        <w:pStyle w:val="BodyText"/>
      </w:pPr>
    </w:p>
    <w:p w:rsidR="00B817B4" w:rsidRDefault="00B817B4" w:rsidP="006E72FF">
      <w:pPr>
        <w:pStyle w:val="BodyText"/>
      </w:pPr>
    </w:p>
    <w:p w:rsidR="00B817B4" w:rsidRDefault="00B817B4" w:rsidP="006E72FF">
      <w:pPr>
        <w:pStyle w:val="BodyText"/>
      </w:pPr>
    </w:p>
    <w:p w:rsidR="00B817B4" w:rsidRDefault="00B817B4" w:rsidP="006E72FF">
      <w:pPr>
        <w:pStyle w:val="BodyText"/>
      </w:pPr>
    </w:p>
    <w:p w:rsidR="00B817B4" w:rsidRDefault="00B817B4" w:rsidP="006E72FF">
      <w:pPr>
        <w:pStyle w:val="BodyText"/>
      </w:pPr>
    </w:p>
    <w:p w:rsidR="00923A48" w:rsidRDefault="00923A48" w:rsidP="006E72FF">
      <w:pPr>
        <w:pStyle w:val="BodyText"/>
      </w:pPr>
    </w:p>
    <w:p w:rsidR="00336BDD" w:rsidRPr="006E72FF" w:rsidRDefault="00336BDD" w:rsidP="006E72FF">
      <w:pPr>
        <w:pStyle w:val="BodyText"/>
      </w:pPr>
    </w:p>
    <w:p w:rsidR="00037D4F" w:rsidRDefault="00037D4F" w:rsidP="00037D4F">
      <w:pPr>
        <w:pStyle w:val="TOAHeading"/>
      </w:pPr>
      <w:r>
        <w:lastRenderedPageBreak/>
        <w:t>Chapter 4 – General Government Office Buildings and Sites</w:t>
      </w:r>
    </w:p>
    <w:p w:rsidR="006E72FF" w:rsidRDefault="006E72FF" w:rsidP="006E72FF">
      <w:pPr>
        <w:pStyle w:val="Heading3"/>
      </w:pPr>
      <w:bookmarkStart w:id="11" w:name="_Toc245621830"/>
      <w:r>
        <w:t>Inventory of Current Facilities</w:t>
      </w:r>
      <w:bookmarkEnd w:id="11"/>
    </w:p>
    <w:p w:rsidR="006E72FF" w:rsidRDefault="00FD6221" w:rsidP="006E72FF">
      <w:pPr>
        <w:pStyle w:val="BodyText"/>
      </w:pPr>
      <w:r>
        <w:t xml:space="preserve">The 2016 inventory of County general government office buildings and sites is 306,691 square feet at eight locations, as shown in more detail in the </w:t>
      </w:r>
      <w:r w:rsidRPr="00D926DC">
        <w:rPr>
          <w:i/>
        </w:rPr>
        <w:t>Six-Year Capital Improvement Program for Whatcom County Facilities</w:t>
      </w:r>
      <w:r>
        <w:t>.</w:t>
      </w:r>
    </w:p>
    <w:p w:rsidR="006E72FF" w:rsidRDefault="006E72FF" w:rsidP="006E72FF">
      <w:pPr>
        <w:pStyle w:val="Heading3"/>
      </w:pPr>
      <w:bookmarkStart w:id="12" w:name="_Toc245621831"/>
      <w:r>
        <w:t>Future Needs</w:t>
      </w:r>
      <w:bookmarkEnd w:id="12"/>
    </w:p>
    <w:p w:rsidR="00C551F3" w:rsidRDefault="00FD6221" w:rsidP="006E72FF">
      <w:pPr>
        <w:pStyle w:val="BodyText"/>
      </w:pPr>
      <w:r>
        <w:t>Chapter 4 of the Whatcom County Comprehensive Plan does not contain LOS standards for maintenance and operations facilities.  Rather, it contains goals and policies supportive of providing adequate County facilities.</w:t>
      </w:r>
      <w:r w:rsidR="006E72FF">
        <w:t xml:space="preserve"> </w:t>
      </w:r>
      <w:r w:rsidR="007C2E34">
        <w:t>Specifically, Comprehensive Plan Policy 4A-1 is to “Plan appropriate county facilities commensurate with the ability of the county to fund them.”</w:t>
      </w:r>
    </w:p>
    <w:p w:rsidR="00C551F3" w:rsidRDefault="00C551F3" w:rsidP="00C551F3">
      <w:pPr>
        <w:pStyle w:val="Heading3"/>
      </w:pPr>
      <w:r>
        <w:t>Capital Projects and Funding</w:t>
      </w:r>
    </w:p>
    <w:p w:rsidR="00FD6221" w:rsidRDefault="00FD6221" w:rsidP="00FD6221">
      <w:pPr>
        <w:pStyle w:val="BodyText"/>
      </w:pPr>
      <w:r>
        <w:t>Capital improvement projects anticipated in the six-year planning period include improvements to the Whatcom County Courthouse</w:t>
      </w:r>
      <w:r w:rsidR="00E67DA4">
        <w:t xml:space="preserve"> (311 Grand Ave.)</w:t>
      </w:r>
      <w:r>
        <w:t>, 509 Girard</w:t>
      </w:r>
      <w:r w:rsidR="00E67DA4">
        <w:t xml:space="preserve"> St.</w:t>
      </w:r>
      <w:r>
        <w:t>, 1500 N. State St., the Civic Center</w:t>
      </w:r>
      <w:r w:rsidR="00E67DA4">
        <w:t xml:space="preserve"> (</w:t>
      </w:r>
      <w:r w:rsidR="002E0928">
        <w:t>322 North Commercial)</w:t>
      </w:r>
      <w:r>
        <w:t>, Northwest Annex</w:t>
      </w:r>
      <w:r w:rsidR="00E67DA4">
        <w:t xml:space="preserve"> (5280 Northwest Dr.)</w:t>
      </w:r>
      <w:r>
        <w:t xml:space="preserve"> and multiple other location</w:t>
      </w:r>
      <w:r w:rsidR="0004415C">
        <w:t>s.  Additionally, a new mental health triage c</w:t>
      </w:r>
      <w:r>
        <w:t>enter is planned. These improvements will cost approximately $23.2 million</w:t>
      </w:r>
      <w:r w:rsidR="0004415C">
        <w:t>, which will be paid with the funding sources</w:t>
      </w:r>
      <w:r>
        <w:t xml:space="preserve"> shown in the </w:t>
      </w:r>
      <w:r w:rsidRPr="00D926DC">
        <w:rPr>
          <w:i/>
        </w:rPr>
        <w:t>Six-Year Capital Improvement Program for Whatcom County Facilities</w:t>
      </w:r>
      <w:r>
        <w:t>.</w:t>
      </w:r>
    </w:p>
    <w:p w:rsidR="0004415C" w:rsidRDefault="00FD6221" w:rsidP="00FD6221">
      <w:pPr>
        <w:pStyle w:val="BodyText"/>
      </w:pPr>
      <w:r>
        <w:t>Capital improvement projects in the 7 to 20 year planning period include a $34 million dollar Courthouse exterior project</w:t>
      </w:r>
      <w:r w:rsidR="00336BDD">
        <w:t>, which would</w:t>
      </w:r>
      <w:r w:rsidR="00336BDD" w:rsidRPr="00504FF5">
        <w:t xml:space="preserve"> be paid with bond proceeds that</w:t>
      </w:r>
      <w:r w:rsidR="00A12F6F">
        <w:t xml:space="preserve"> would be repaid from</w:t>
      </w:r>
      <w:r w:rsidR="00336BDD">
        <w:t xml:space="preserve"> the General Fund, </w:t>
      </w:r>
      <w:r w:rsidR="00DD6155">
        <w:t>Real Estate Excise Tax (</w:t>
      </w:r>
      <w:r w:rsidR="00336BDD">
        <w:t>REET I</w:t>
      </w:r>
      <w:r w:rsidR="00DD6155">
        <w:t>)</w:t>
      </w:r>
      <w:r w:rsidR="00336BDD">
        <w:t xml:space="preserve"> and/or </w:t>
      </w:r>
      <w:r w:rsidR="00E67DA4">
        <w:t>Economic Development Initiative</w:t>
      </w:r>
      <w:r w:rsidR="00DD6155">
        <w:t xml:space="preserve"> (</w:t>
      </w:r>
      <w:r w:rsidR="00336BDD">
        <w:t>EDI</w:t>
      </w:r>
      <w:r w:rsidR="00DD6155">
        <w:t>)</w:t>
      </w:r>
      <w:r w:rsidR="00E67DA4">
        <w:t xml:space="preserve"> program</w:t>
      </w:r>
      <w:r w:rsidR="0004415C">
        <w:t xml:space="preserve"> funds</w:t>
      </w:r>
      <w:r w:rsidR="00336BDD">
        <w:t xml:space="preserve">. </w:t>
      </w:r>
      <w:r>
        <w:t xml:space="preserve"> </w:t>
      </w:r>
      <w:r w:rsidR="00336BDD">
        <w:t xml:space="preserve">Additionally, approximately </w:t>
      </w:r>
      <w:r>
        <w:t xml:space="preserve">$700,000 to $1,000,000 </w:t>
      </w:r>
      <w:r w:rsidR="00336BDD">
        <w:t>would be spent annually on</w:t>
      </w:r>
      <w:r>
        <w:t xml:space="preserve"> various general maintenance projects.</w:t>
      </w:r>
      <w:r w:rsidR="00336BDD">
        <w:t xml:space="preserve">  These costs would </w:t>
      </w:r>
      <w:r w:rsidR="00A12F6F">
        <w:t>be paid from REET I and/or EDI f</w:t>
      </w:r>
      <w:r w:rsidR="00336BDD">
        <w:t>und</w:t>
      </w:r>
      <w:r w:rsidR="00A12F6F">
        <w:t>s</w:t>
      </w:r>
      <w:r w:rsidR="00336BDD">
        <w:t>.</w:t>
      </w:r>
      <w:r>
        <w:t xml:space="preserve">  </w:t>
      </w:r>
    </w:p>
    <w:p w:rsidR="00FD6221" w:rsidRDefault="0004415C" w:rsidP="00FD6221">
      <w:pPr>
        <w:pStyle w:val="BodyText"/>
      </w:pPr>
      <w:r>
        <w:t>T</w:t>
      </w:r>
      <w:r w:rsidR="00FD6221">
        <w:t>he County will</w:t>
      </w:r>
      <w:r>
        <w:t xml:space="preserve"> also</w:t>
      </w:r>
      <w:r w:rsidR="00FD6221">
        <w:t xml:space="preserve"> monitor the adequacy of County buildings throughout the planning period and consider capital improvements and maintenance </w:t>
      </w:r>
      <w:r>
        <w:t xml:space="preserve">projects </w:t>
      </w:r>
      <w:r w:rsidR="00FD6221">
        <w:t xml:space="preserve">if warranted in the future.  </w:t>
      </w:r>
    </w:p>
    <w:p w:rsidR="006E72FF" w:rsidRDefault="006E72FF" w:rsidP="006E72FF">
      <w:pPr>
        <w:pStyle w:val="TableNotes"/>
        <w:ind w:left="360" w:hanging="360"/>
      </w:pPr>
    </w:p>
    <w:p w:rsidR="00037D4F" w:rsidRDefault="00037D4F" w:rsidP="00037D4F">
      <w:pPr>
        <w:pStyle w:val="BodyText"/>
      </w:pPr>
    </w:p>
    <w:p w:rsidR="002E4A7F" w:rsidRDefault="002E4A7F" w:rsidP="00037D4F">
      <w:pPr>
        <w:pStyle w:val="BodyText"/>
      </w:pPr>
    </w:p>
    <w:p w:rsidR="00E16094" w:rsidRDefault="00E16094" w:rsidP="00037D4F">
      <w:pPr>
        <w:pStyle w:val="BodyText"/>
      </w:pPr>
    </w:p>
    <w:p w:rsidR="00037D4F" w:rsidRDefault="00037D4F" w:rsidP="00037D4F">
      <w:pPr>
        <w:pStyle w:val="TOAHeading"/>
      </w:pPr>
      <w:r>
        <w:lastRenderedPageBreak/>
        <w:t>Chapter 5 – Sheriff’s Office</w:t>
      </w:r>
    </w:p>
    <w:p w:rsidR="006E72FF" w:rsidRDefault="006E72FF" w:rsidP="006E72FF">
      <w:pPr>
        <w:pStyle w:val="Heading3"/>
      </w:pPr>
      <w:bookmarkStart w:id="13" w:name="_Toc245621835"/>
      <w:r>
        <w:t>Inventory of Current Facilities</w:t>
      </w:r>
      <w:bookmarkEnd w:id="13"/>
    </w:p>
    <w:p w:rsidR="00504FF5" w:rsidRDefault="00504FF5" w:rsidP="00504FF5">
      <w:pPr>
        <w:pStyle w:val="BodyText"/>
      </w:pPr>
      <w:r>
        <w:t>T</w:t>
      </w:r>
      <w:r w:rsidR="00B15DF4">
        <w:t>he 2016 inventory of Sheriff’s O</w:t>
      </w:r>
      <w:r w:rsidR="00793960">
        <w:t xml:space="preserve">ffice space </w:t>
      </w:r>
      <w:r>
        <w:t>is 23,326 square feet at six locations, as shown in more detail in the Six-Year Capital Improvement Program for Whatcom County Facilities.</w:t>
      </w:r>
    </w:p>
    <w:p w:rsidR="00C551F3" w:rsidRDefault="00C551F3" w:rsidP="00C551F3">
      <w:pPr>
        <w:pStyle w:val="Heading3"/>
      </w:pPr>
      <w:r>
        <w:t>Future Needs</w:t>
      </w:r>
    </w:p>
    <w:p w:rsidR="00504FF5" w:rsidRDefault="00504FF5" w:rsidP="00504FF5">
      <w:pPr>
        <w:pStyle w:val="BodyText"/>
      </w:pPr>
      <w:r>
        <w:t xml:space="preserve">Chapter 4 of the Whatcom County Comprehensive Plan does not contain LOS standards for </w:t>
      </w:r>
      <w:r w:rsidR="00733B64">
        <w:t>Sheriff’s Office</w:t>
      </w:r>
      <w:r>
        <w:t xml:space="preserve"> space.  Rather, it contains goals and policies supportive of providing adequate </w:t>
      </w:r>
      <w:r w:rsidR="00733B64">
        <w:t>Sheriff’s Office</w:t>
      </w:r>
      <w:r>
        <w:t xml:space="preserve"> facilities.  Specifically, Comprehensive Plan Policy 4D-2 is to:</w:t>
      </w:r>
    </w:p>
    <w:p w:rsidR="00C551F3" w:rsidRDefault="00504FF5" w:rsidP="00504FF5">
      <w:pPr>
        <w:pStyle w:val="BodyText"/>
        <w:ind w:left="720"/>
      </w:pPr>
      <w:r w:rsidRPr="00907A36">
        <w:t>Maintain Sheriff’s Office adult corrections facilities and headquarters to provide a safe environment for the community, staff and inmates.</w:t>
      </w:r>
      <w:r>
        <w:t xml:space="preserve"> . .</w:t>
      </w:r>
      <w:r w:rsidRPr="00907A36">
        <w:t xml:space="preserve">  Existing facilities may be expanded or new facilities developed in response to increasing need.</w:t>
      </w:r>
    </w:p>
    <w:p w:rsidR="00504FF5" w:rsidRDefault="00504FF5" w:rsidP="00504FF5">
      <w:pPr>
        <w:pStyle w:val="BodyText"/>
      </w:pPr>
      <w:r w:rsidRPr="000E4308">
        <w:t xml:space="preserve">Most Sheriff's Office functions are </w:t>
      </w:r>
      <w:r>
        <w:t xml:space="preserve">currently </w:t>
      </w:r>
      <w:r w:rsidRPr="000E4308">
        <w:t>based in the Public Safety Building adjacent to the Court</w:t>
      </w:r>
      <w:r>
        <w:t>house and are remote from the</w:t>
      </w:r>
      <w:r w:rsidRPr="000E4308">
        <w:t xml:space="preserve"> majority of Sheriff's Office Bureau of Law Enforcement and Investigative Services functions that take place in unincorporated Whatcom County.  This results in inefficiencies and delays.  Space and design factors in current facilities preclude consolidating various functions performed throughout the agency (reception, finance, etc.) and re</w:t>
      </w:r>
      <w:r>
        <w:t>sult in redundancies.  Because of these issues</w:t>
      </w:r>
      <w:r w:rsidRPr="000E4308">
        <w:t>, existing Sheriff's Office facilities</w:t>
      </w:r>
      <w:r>
        <w:t xml:space="preserve"> and associated functions will</w:t>
      </w:r>
      <w:r w:rsidRPr="000E4308">
        <w:t xml:space="preserve"> be consolidated (except for “Resident Deputy” program facilities)</w:t>
      </w:r>
      <w:r>
        <w:t>, and co-located on the site of the proposed new jail</w:t>
      </w:r>
      <w:r w:rsidRPr="000E4308">
        <w:t>.</w:t>
      </w:r>
    </w:p>
    <w:p w:rsidR="00C551F3" w:rsidRDefault="00C551F3" w:rsidP="00C551F3">
      <w:pPr>
        <w:pStyle w:val="Heading3"/>
      </w:pPr>
      <w:r>
        <w:t>Capital Projects and Funding</w:t>
      </w:r>
    </w:p>
    <w:p w:rsidR="00987D02" w:rsidRDefault="00504FF5" w:rsidP="00C551F3">
      <w:pPr>
        <w:pStyle w:val="BodyText"/>
      </w:pPr>
      <w:r>
        <w:t>A new Sheriff’s Headquarters facility, co-located with the proposed new jail on LaBounty Rd. in Ferndale, is proposed within the six-year planning period</w:t>
      </w:r>
      <w:r w:rsidRPr="00A05346">
        <w:t>.</w:t>
      </w:r>
      <w:r>
        <w:rPr>
          <w:rFonts w:cs="Arial"/>
        </w:rPr>
        <w:t xml:space="preserve">  The Sheriff’s Headquarters facility would cost </w:t>
      </w:r>
      <w:r>
        <w:t>approximately $19 million, paid with bond proceeds that would be repaid from the General Fund</w:t>
      </w:r>
      <w:r w:rsidR="00733B64">
        <w:t>.</w:t>
      </w:r>
    </w:p>
    <w:p w:rsidR="00504FF5" w:rsidRDefault="00504FF5" w:rsidP="00504FF5">
      <w:pPr>
        <w:pStyle w:val="BodyText"/>
      </w:pPr>
      <w:r>
        <w:t xml:space="preserve">There are no capital improvement projects currently identified that would add Sheriff’s Office space within the 7 to 20 year planning period. However, the County will monitor the adequacy of Sheriff’s Office facilities throughout the planning period and consider capital improvements if warranted in the future.  Maintenance projects will be undertaken as needed.  </w:t>
      </w:r>
    </w:p>
    <w:p w:rsidR="00504FF5" w:rsidRDefault="00504FF5" w:rsidP="00037D4F">
      <w:pPr>
        <w:pStyle w:val="BodyText"/>
      </w:pPr>
    </w:p>
    <w:p w:rsidR="00AF6DB9" w:rsidRDefault="00AF6DB9" w:rsidP="00037D4F">
      <w:pPr>
        <w:pStyle w:val="BodyText"/>
      </w:pPr>
    </w:p>
    <w:p w:rsidR="00037D4F" w:rsidRDefault="00037D4F" w:rsidP="00037D4F">
      <w:pPr>
        <w:pStyle w:val="TOAHeading"/>
      </w:pPr>
      <w:r>
        <w:lastRenderedPageBreak/>
        <w:t>Chapter 6 – Emergency Management</w:t>
      </w:r>
    </w:p>
    <w:p w:rsidR="00987D02" w:rsidRDefault="00987D02" w:rsidP="00987D02">
      <w:pPr>
        <w:pStyle w:val="Heading3"/>
      </w:pPr>
      <w:r>
        <w:t>Inventory of Current Facilities</w:t>
      </w:r>
    </w:p>
    <w:p w:rsidR="00987D02" w:rsidRDefault="000A3F2B" w:rsidP="00987D02">
      <w:pPr>
        <w:pStyle w:val="BodyText"/>
      </w:pPr>
      <w:r w:rsidRPr="000A3F2B">
        <w:t>The 2016 inventory of Sheriff’s Office, Division of Emergency Management space is 24,000 square feet, located at the Whatcom Unified Emergency Coordination Center (WUECC).  Rented by and shared between both Whatcom County and the City of Bellingham, the WUECC is comprised of 2,000 square feet of office space and an additional 22,000 square feet of support facilities (used for meetings, training, exercises, and during emergencies).  The WUECC serves as the Emergency Operations Center for both the County and the City.</w:t>
      </w:r>
      <w:r w:rsidR="00987D02">
        <w:tab/>
      </w:r>
    </w:p>
    <w:p w:rsidR="00987D02" w:rsidRDefault="00987D02" w:rsidP="00987D02">
      <w:pPr>
        <w:pStyle w:val="Heading3"/>
      </w:pPr>
      <w:r>
        <w:t>Future Needs</w:t>
      </w:r>
    </w:p>
    <w:p w:rsidR="008C763A" w:rsidRDefault="00A303CA" w:rsidP="00987D02">
      <w:pPr>
        <w:pStyle w:val="BodyText"/>
      </w:pPr>
      <w:r>
        <w:t>Chapter 4 of the Whatcom County Comprehensive Plan does not contain LOS standards for</w:t>
      </w:r>
      <w:r w:rsidR="00C35CC4">
        <w:t xml:space="preserve"> emergency m</w:t>
      </w:r>
      <w:r w:rsidR="00EE59AE">
        <w:t>anagement space</w:t>
      </w:r>
      <w:r>
        <w:t>.  Rather, it contains goals and policies su</w:t>
      </w:r>
      <w:r w:rsidR="00C35CC4">
        <w:t>pportive of providing adequate emergency m</w:t>
      </w:r>
      <w:r>
        <w:t>anagement facilities.</w:t>
      </w:r>
      <w:r w:rsidR="008C763A">
        <w:t xml:space="preserve">  Specifically, Comprehensive Plan Policy 4D-4 is to:</w:t>
      </w:r>
    </w:p>
    <w:p w:rsidR="00987D02" w:rsidRDefault="008C763A" w:rsidP="008C763A">
      <w:pPr>
        <w:pStyle w:val="BodyText"/>
        <w:ind w:left="720"/>
      </w:pPr>
      <w:r w:rsidRPr="008C763A">
        <w:t>Maintain adequate facilities for daily emergency management activities and, during an emergency or disaster, for the emergency operations center.  The facilities will provide sufficient space for activities relating to emergency/disaster planning, mitigation, response and recovery.  Existing facilities may be expanded or new facilities developed in response to increasing need.</w:t>
      </w:r>
      <w:r w:rsidR="00A303CA">
        <w:t xml:space="preserve"> </w:t>
      </w:r>
    </w:p>
    <w:p w:rsidR="00987D02" w:rsidRDefault="00987D02" w:rsidP="00987D02">
      <w:pPr>
        <w:pStyle w:val="Heading3"/>
      </w:pPr>
      <w:r>
        <w:t>Capital Projects and Funding</w:t>
      </w:r>
    </w:p>
    <w:p w:rsidR="002214B0" w:rsidRPr="00A303CA" w:rsidRDefault="00A303CA" w:rsidP="00D926DC">
      <w:pPr>
        <w:pStyle w:val="TableNotes"/>
        <w:spacing w:line="276" w:lineRule="auto"/>
        <w:rPr>
          <w:rFonts w:ascii="Times New Roman" w:hAnsi="Times New Roman" w:cs="Times New Roman"/>
          <w:sz w:val="22"/>
          <w:szCs w:val="22"/>
        </w:rPr>
      </w:pPr>
      <w:r w:rsidRPr="00A303CA">
        <w:rPr>
          <w:rFonts w:ascii="Times New Roman" w:hAnsi="Times New Roman" w:cs="Times New Roman"/>
          <w:sz w:val="22"/>
          <w:szCs w:val="22"/>
        </w:rPr>
        <w:t xml:space="preserve">There are no </w:t>
      </w:r>
      <w:r w:rsidR="0024009B">
        <w:rPr>
          <w:rFonts w:ascii="Times New Roman" w:hAnsi="Times New Roman" w:cs="Times New Roman"/>
          <w:sz w:val="22"/>
          <w:szCs w:val="22"/>
        </w:rPr>
        <w:t xml:space="preserve">capital </w:t>
      </w:r>
      <w:r w:rsidRPr="00A303CA">
        <w:rPr>
          <w:rFonts w:ascii="Times New Roman" w:hAnsi="Times New Roman" w:cs="Times New Roman"/>
          <w:sz w:val="22"/>
          <w:szCs w:val="22"/>
        </w:rPr>
        <w:t xml:space="preserve">improvement projects </w:t>
      </w:r>
      <w:r>
        <w:rPr>
          <w:rFonts w:ascii="Times New Roman" w:hAnsi="Times New Roman" w:cs="Times New Roman"/>
          <w:sz w:val="22"/>
          <w:szCs w:val="22"/>
        </w:rPr>
        <w:t xml:space="preserve">currently </w:t>
      </w:r>
      <w:r w:rsidRPr="00A303CA">
        <w:rPr>
          <w:rFonts w:ascii="Times New Roman" w:hAnsi="Times New Roman" w:cs="Times New Roman"/>
          <w:sz w:val="22"/>
          <w:szCs w:val="22"/>
        </w:rPr>
        <w:t xml:space="preserve">identified that would add usable </w:t>
      </w:r>
      <w:r w:rsidR="00C35CC4">
        <w:rPr>
          <w:rFonts w:ascii="Times New Roman" w:hAnsi="Times New Roman" w:cs="Times New Roman"/>
          <w:sz w:val="22"/>
          <w:szCs w:val="22"/>
        </w:rPr>
        <w:t>emergency m</w:t>
      </w:r>
      <w:r>
        <w:rPr>
          <w:rFonts w:ascii="Times New Roman" w:hAnsi="Times New Roman" w:cs="Times New Roman"/>
          <w:sz w:val="22"/>
          <w:szCs w:val="22"/>
        </w:rPr>
        <w:t xml:space="preserve">anagement space within </w:t>
      </w:r>
      <w:r w:rsidR="000A3F2B">
        <w:rPr>
          <w:rFonts w:ascii="Times New Roman" w:hAnsi="Times New Roman" w:cs="Times New Roman"/>
          <w:sz w:val="22"/>
          <w:szCs w:val="22"/>
        </w:rPr>
        <w:t xml:space="preserve">the </w:t>
      </w:r>
      <w:r w:rsidRPr="00A303CA">
        <w:rPr>
          <w:rFonts w:ascii="Times New Roman" w:hAnsi="Times New Roman" w:cs="Times New Roman"/>
          <w:sz w:val="22"/>
          <w:szCs w:val="22"/>
        </w:rPr>
        <w:t xml:space="preserve">20 year planning period. </w:t>
      </w:r>
      <w:r w:rsidR="008C763A" w:rsidRPr="008C763A">
        <w:rPr>
          <w:rFonts w:ascii="Times New Roman" w:hAnsi="Times New Roman" w:cs="Times New Roman"/>
          <w:sz w:val="22"/>
          <w:szCs w:val="22"/>
        </w:rPr>
        <w:t xml:space="preserve">However, </w:t>
      </w:r>
      <w:r w:rsidR="00C35CC4">
        <w:rPr>
          <w:rFonts w:ascii="Times New Roman" w:hAnsi="Times New Roman" w:cs="Times New Roman"/>
          <w:sz w:val="22"/>
          <w:szCs w:val="22"/>
        </w:rPr>
        <w:t>the County will monitor</w:t>
      </w:r>
      <w:r w:rsidR="008C763A" w:rsidRPr="008C763A">
        <w:rPr>
          <w:rFonts w:ascii="Times New Roman" w:hAnsi="Times New Roman" w:cs="Times New Roman"/>
          <w:sz w:val="22"/>
          <w:szCs w:val="22"/>
        </w:rPr>
        <w:t xml:space="preserve"> the adequ</w:t>
      </w:r>
      <w:r w:rsidR="008C763A">
        <w:rPr>
          <w:rFonts w:ascii="Times New Roman" w:hAnsi="Times New Roman" w:cs="Times New Roman"/>
          <w:sz w:val="22"/>
          <w:szCs w:val="22"/>
        </w:rPr>
        <w:t xml:space="preserve">acy of </w:t>
      </w:r>
      <w:r w:rsidR="00C35CC4">
        <w:rPr>
          <w:rFonts w:ascii="Times New Roman" w:hAnsi="Times New Roman" w:cs="Times New Roman"/>
          <w:sz w:val="22"/>
          <w:szCs w:val="22"/>
        </w:rPr>
        <w:t>emergency m</w:t>
      </w:r>
      <w:r w:rsidR="008C763A">
        <w:rPr>
          <w:rFonts w:ascii="Times New Roman" w:hAnsi="Times New Roman" w:cs="Times New Roman"/>
          <w:sz w:val="22"/>
          <w:szCs w:val="22"/>
        </w:rPr>
        <w:t>anagement</w:t>
      </w:r>
      <w:r w:rsidR="008C763A" w:rsidRPr="008C763A">
        <w:rPr>
          <w:rFonts w:ascii="Times New Roman" w:hAnsi="Times New Roman" w:cs="Times New Roman"/>
          <w:sz w:val="22"/>
          <w:szCs w:val="22"/>
        </w:rPr>
        <w:t xml:space="preserve"> facilities throughout the planning period and consider capital improvements if warranted in the future.  Maintenance projects will be undertaken as needed.</w:t>
      </w:r>
    </w:p>
    <w:p w:rsidR="00037D4F" w:rsidRPr="00A303CA" w:rsidRDefault="00037D4F" w:rsidP="00037D4F">
      <w:pPr>
        <w:pStyle w:val="BodyText"/>
        <w:rPr>
          <w:szCs w:val="22"/>
        </w:rPr>
      </w:pPr>
    </w:p>
    <w:p w:rsidR="00037D4F" w:rsidRDefault="00037D4F" w:rsidP="00037D4F">
      <w:pPr>
        <w:pStyle w:val="BodyText"/>
      </w:pPr>
    </w:p>
    <w:p w:rsidR="00831252" w:rsidRDefault="00831252" w:rsidP="00037D4F">
      <w:pPr>
        <w:pStyle w:val="BodyText"/>
      </w:pPr>
    </w:p>
    <w:p w:rsidR="00831252" w:rsidRDefault="00831252" w:rsidP="00037D4F">
      <w:pPr>
        <w:pStyle w:val="BodyText"/>
      </w:pPr>
    </w:p>
    <w:p w:rsidR="00A303CA" w:rsidRDefault="00A303CA" w:rsidP="00037D4F">
      <w:pPr>
        <w:pStyle w:val="BodyText"/>
      </w:pPr>
    </w:p>
    <w:p w:rsidR="00A303CA" w:rsidRDefault="00A303CA" w:rsidP="00037D4F">
      <w:pPr>
        <w:pStyle w:val="BodyText"/>
      </w:pPr>
    </w:p>
    <w:p w:rsidR="00A303CA" w:rsidRDefault="00A303CA" w:rsidP="00037D4F">
      <w:pPr>
        <w:pStyle w:val="BodyText"/>
      </w:pPr>
    </w:p>
    <w:p w:rsidR="00A303CA" w:rsidRDefault="00A303CA" w:rsidP="00037D4F">
      <w:pPr>
        <w:pStyle w:val="BodyText"/>
      </w:pPr>
    </w:p>
    <w:p w:rsidR="00FD2F76" w:rsidRDefault="00FD2F76" w:rsidP="00037D4F">
      <w:pPr>
        <w:pStyle w:val="BodyText"/>
      </w:pPr>
    </w:p>
    <w:p w:rsidR="006E72FF" w:rsidRDefault="00037D4F" w:rsidP="00504FF5">
      <w:pPr>
        <w:pStyle w:val="TOAHeading"/>
      </w:pPr>
      <w:r>
        <w:t>Chapter 7 – Adult Corrections</w:t>
      </w:r>
      <w:r w:rsidR="006E72FF">
        <w:t xml:space="preserve"> </w:t>
      </w:r>
    </w:p>
    <w:p w:rsidR="00831252" w:rsidRDefault="00831252" w:rsidP="00831252">
      <w:pPr>
        <w:pStyle w:val="Heading3"/>
      </w:pPr>
      <w:r>
        <w:t>Inventory of Current Facilities</w:t>
      </w:r>
    </w:p>
    <w:p w:rsidR="00831252" w:rsidRDefault="00504FF5" w:rsidP="00831252">
      <w:pPr>
        <w:pStyle w:val="BodyText"/>
      </w:pPr>
      <w:r w:rsidRPr="00504FF5">
        <w:t xml:space="preserve">The County’s Main Jail was designed for 148 beds, although it currently has 283 beds due to double bunking, internal remodeling and use of temporary beds.  Additionally, the jail is currently not in compliance with the Building/Fire Codes for double bunking, although a plan has been approved to bring it into compliance.  Whatcom County completed construction of a 150 bed minimum security correction facility on Division St. in 2006.  The Main Jail is located in the Public Safety Building next to the County Courthouse in downtown Bellingham and the Minimum Security Correction Facility is located in the Bakerview Rd. industrial area.  </w:t>
      </w:r>
    </w:p>
    <w:p w:rsidR="00831252" w:rsidRDefault="00831252" w:rsidP="00831252">
      <w:pPr>
        <w:pStyle w:val="Heading3"/>
      </w:pPr>
      <w:r>
        <w:t>Future Needs</w:t>
      </w:r>
    </w:p>
    <w:p w:rsidR="00831252" w:rsidRDefault="00504FF5" w:rsidP="00831252">
      <w:pPr>
        <w:pStyle w:val="BodyText"/>
      </w:pPr>
      <w:r>
        <w:t>Chapter 4 of the Whatcom County Comprehensive Plan does not contain LOS standards for</w:t>
      </w:r>
      <w:r w:rsidR="00733B64">
        <w:t xml:space="preserve"> adult corrections facilities</w:t>
      </w:r>
      <w:r>
        <w:t>.  Rather, it contains goals and policies supportive of providi</w:t>
      </w:r>
      <w:r w:rsidR="00733B64">
        <w:t>ng adequate corrections</w:t>
      </w:r>
      <w:r>
        <w:t xml:space="preserve"> facilities.  Specifically, Comprehensive Plan Policy 4D-2 is to:</w:t>
      </w:r>
      <w:r w:rsidR="00831252">
        <w:t xml:space="preserve"> </w:t>
      </w:r>
    </w:p>
    <w:p w:rsidR="00504FF5" w:rsidRDefault="00504FF5" w:rsidP="00504FF5">
      <w:pPr>
        <w:pStyle w:val="BodyText"/>
        <w:ind w:left="720"/>
      </w:pPr>
      <w:r w:rsidRPr="00504FF5">
        <w:t>Maintain Sheriff’s Office adult corrections facilities and headquarters to provide a safe environment for the community, staff and inmates. The number of jail beds in adult corrections facilities will be determined after review of multiple factors, including projected population growth, State sentencing laws, alternative programs, treatment diversion programs, early release programs, the need to separate violent inmates, the need to separate inmates by gender, the need to separate inmates by other classification considerations, average length of stay, peak inmate populations and available funding.  Existing facilities may be expanded or new facilities developed in response to increasing need.</w:t>
      </w:r>
    </w:p>
    <w:p w:rsidR="00733B64" w:rsidRDefault="00733B64" w:rsidP="00733B64">
      <w:pPr>
        <w:pStyle w:val="BodyText"/>
      </w:pPr>
      <w:r w:rsidRPr="00504FF5">
        <w:t xml:space="preserve">There are serious concerns among law and justice officials relating to jail facility needs in the community.  This need has been documented by recommendations from the </w:t>
      </w:r>
      <w:r w:rsidRPr="00504FF5">
        <w:rPr>
          <w:i/>
        </w:rPr>
        <w:t>Whatcom County Law and Justice Plan Phase II Report</w:t>
      </w:r>
      <w:r w:rsidRPr="00504FF5">
        <w:t xml:space="preserve"> (June 2000), in a report entitled </w:t>
      </w:r>
      <w:r w:rsidRPr="00504FF5">
        <w:rPr>
          <w:i/>
        </w:rPr>
        <w:t>Operational Review of the Whatcom County, Washington Jail</w:t>
      </w:r>
      <w:r w:rsidRPr="00504FF5">
        <w:t xml:space="preserve"> (March 2004), in the Whatcom County Jail Planning Task Force Recommendations (Dec. 2011 and March 2012), and in the </w:t>
      </w:r>
      <w:r w:rsidRPr="00504FF5">
        <w:rPr>
          <w:i/>
        </w:rPr>
        <w:t>Whatcom County Adult Corrections Facilities &amp; Sheriff’s Headquarters Pre-Design Report</w:t>
      </w:r>
      <w:r w:rsidRPr="00504FF5">
        <w:t xml:space="preserve"> (Sept. 2013).</w:t>
      </w:r>
    </w:p>
    <w:p w:rsidR="00831252" w:rsidRDefault="00831252" w:rsidP="00831252">
      <w:pPr>
        <w:pStyle w:val="Heading3"/>
      </w:pPr>
      <w:r>
        <w:t>Capital Projects and Funding</w:t>
      </w:r>
    </w:p>
    <w:p w:rsidR="00504FF5" w:rsidRPr="00504FF5" w:rsidRDefault="00504FF5" w:rsidP="00504FF5">
      <w:pPr>
        <w:pStyle w:val="BodyText"/>
      </w:pPr>
      <w:r w:rsidRPr="00504FF5">
        <w:t>In an effort to meet the community need, the County plans to construct a new Adult Corrections Facility on LaBounty Rd. in Ferndale, tentatively scheduled to open with 521 beds</w:t>
      </w:r>
      <w:r>
        <w:t xml:space="preserve"> within the six-year planning period</w:t>
      </w:r>
      <w:r w:rsidRPr="00504FF5">
        <w:t xml:space="preserve">. At the time this new jail is opened, the offenders at the minimum-security </w:t>
      </w:r>
      <w:r w:rsidRPr="00504FF5">
        <w:lastRenderedPageBreak/>
        <w:t xml:space="preserve">corrections facility would be relocated to the new facility.  </w:t>
      </w:r>
      <w:r w:rsidR="00793960" w:rsidRPr="00504FF5">
        <w:t>The cost of the proposed new jail is approximately $112,000,000</w:t>
      </w:r>
      <w:r w:rsidR="00793960">
        <w:t>, which would</w:t>
      </w:r>
      <w:r w:rsidR="00793960" w:rsidRPr="00504FF5">
        <w:t xml:space="preserve"> be paid with bond proceeds that</w:t>
      </w:r>
      <w:r w:rsidR="00793960">
        <w:t xml:space="preserve"> would be repaid with </w:t>
      </w:r>
      <w:r w:rsidR="000D0249">
        <w:t xml:space="preserve">new </w:t>
      </w:r>
      <w:r w:rsidR="00793960">
        <w:t xml:space="preserve">sales tax.  </w:t>
      </w:r>
    </w:p>
    <w:p w:rsidR="003D394F" w:rsidRDefault="00504FF5" w:rsidP="00504FF5">
      <w:pPr>
        <w:pStyle w:val="BodyText"/>
      </w:pPr>
      <w:r w:rsidRPr="00504FF5">
        <w:t>As an interim measure, existing correction facility improvements are planned so that these buildings can continue to function until the new jail is completed. The cost of the improvements to the existing jail facilities is approximately $3,000,000</w:t>
      </w:r>
      <w:r w:rsidR="00793960">
        <w:t xml:space="preserve">, which would </w:t>
      </w:r>
      <w:r w:rsidR="00733B64">
        <w:t>be paid from</w:t>
      </w:r>
      <w:r w:rsidRPr="00504FF5">
        <w:t xml:space="preserve"> </w:t>
      </w:r>
      <w:r w:rsidR="00733B64">
        <w:t>the Jail Improvement F</w:t>
      </w:r>
      <w:r w:rsidRPr="00504FF5">
        <w:t>und</w:t>
      </w:r>
      <w:r w:rsidR="00733B64">
        <w:t xml:space="preserve"> and the General Fund</w:t>
      </w:r>
      <w:r>
        <w:t>.</w:t>
      </w:r>
    </w:p>
    <w:p w:rsidR="00504FF5" w:rsidRDefault="00504FF5" w:rsidP="00504FF5">
      <w:pPr>
        <w:pStyle w:val="BodyText"/>
      </w:pPr>
      <w:r w:rsidRPr="00504FF5">
        <w:t xml:space="preserve">There are no capital improvement projects currently identified that would add </w:t>
      </w:r>
      <w:r>
        <w:t>jail facilities w</w:t>
      </w:r>
      <w:r w:rsidRPr="00504FF5">
        <w:t xml:space="preserve">ithin the 7 to 20 year planning period. However, the County will monitor the adequacy of </w:t>
      </w:r>
      <w:r>
        <w:t>jail</w:t>
      </w:r>
      <w:r w:rsidRPr="00504FF5">
        <w:t xml:space="preserve"> facilities throughout the planning period and consider capital improvements if warranted in the future.  Maintenance projects will be undertaken as needed.</w:t>
      </w:r>
    </w:p>
    <w:p w:rsidR="003D394F" w:rsidRDefault="003D394F" w:rsidP="00037D4F">
      <w:pPr>
        <w:pStyle w:val="BodyText"/>
      </w:pPr>
    </w:p>
    <w:p w:rsidR="003D394F" w:rsidRDefault="003D394F" w:rsidP="00037D4F">
      <w:pPr>
        <w:pStyle w:val="BodyText"/>
      </w:pPr>
    </w:p>
    <w:p w:rsidR="003D394F" w:rsidRDefault="003D394F" w:rsidP="00037D4F">
      <w:pPr>
        <w:pStyle w:val="BodyText"/>
      </w:pPr>
    </w:p>
    <w:p w:rsidR="003D394F" w:rsidRDefault="003D394F" w:rsidP="00037D4F">
      <w:pPr>
        <w:pStyle w:val="BodyText"/>
      </w:pPr>
    </w:p>
    <w:p w:rsidR="003D394F" w:rsidRDefault="003D394F"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504FF5" w:rsidRDefault="00504FF5" w:rsidP="00037D4F">
      <w:pPr>
        <w:pStyle w:val="BodyText"/>
      </w:pPr>
    </w:p>
    <w:p w:rsidR="00037D4F" w:rsidRDefault="00037D4F" w:rsidP="00037D4F">
      <w:pPr>
        <w:pStyle w:val="TOAHeading"/>
      </w:pPr>
      <w:r>
        <w:lastRenderedPageBreak/>
        <w:t>Chapter 8 – Juvenile Detention</w:t>
      </w:r>
    </w:p>
    <w:p w:rsidR="00CC7F49" w:rsidRDefault="00CC7F49" w:rsidP="00CC7F49">
      <w:pPr>
        <w:pStyle w:val="Heading3"/>
      </w:pPr>
      <w:r>
        <w:t>Inventory of Current Facilities</w:t>
      </w:r>
    </w:p>
    <w:p w:rsidR="00CC7F49" w:rsidRDefault="000A3F2B" w:rsidP="00CC7F49">
      <w:pPr>
        <w:pStyle w:val="BodyText"/>
      </w:pPr>
      <w:r w:rsidRPr="00B3582D">
        <w:t>The 201</w:t>
      </w:r>
      <w:r>
        <w:t>6</w:t>
      </w:r>
      <w:r w:rsidRPr="00B3582D">
        <w:t xml:space="preserve"> inventory of County juvenile detention facilities includes 32 beds serving the county-wide population. The juvenile detention facility is located on the sixth floor of the County Courthouse at 311 Grand Avenue.</w:t>
      </w:r>
    </w:p>
    <w:p w:rsidR="00CC7F49" w:rsidRDefault="00CC7F49" w:rsidP="00CC7F49">
      <w:pPr>
        <w:pStyle w:val="Heading3"/>
      </w:pPr>
      <w:r>
        <w:t>Future Needs</w:t>
      </w:r>
    </w:p>
    <w:p w:rsidR="00CC7F49" w:rsidRDefault="00CC7F49" w:rsidP="00CC7F49">
      <w:pPr>
        <w:pStyle w:val="BodyText"/>
      </w:pPr>
      <w:r>
        <w:t xml:space="preserve">Chapter 4 of the Whatcom County Comprehensive Plan does not contain LOS standards for juvenile detention.  Rather, it contains goals and policies supportive of providing adequate juvenile facilities. </w:t>
      </w:r>
      <w:r w:rsidR="00C35CC4">
        <w:t xml:space="preserve"> Specifically, Comprehensive Plan Policy 4D-3 is to:</w:t>
      </w:r>
    </w:p>
    <w:p w:rsidR="00C35CC4" w:rsidRDefault="00C35CC4" w:rsidP="00C35CC4">
      <w:pPr>
        <w:pStyle w:val="BodyText"/>
        <w:ind w:left="720"/>
      </w:pPr>
      <w:r w:rsidRPr="00C35CC4">
        <w:t>Maintain juvenile detention facilities and alternative corrections programs to provide safe and secure methods to provide accountability and support for minors who break the law.  Existing facilities may be expanded or new facilities developed in response to increasing need.</w:t>
      </w:r>
    </w:p>
    <w:p w:rsidR="00CC7F49" w:rsidRDefault="00CC7F49" w:rsidP="00CC7F49">
      <w:pPr>
        <w:pStyle w:val="Heading3"/>
      </w:pPr>
      <w:r>
        <w:t>Capital Projects and Funding</w:t>
      </w:r>
    </w:p>
    <w:p w:rsidR="006E72FF" w:rsidRDefault="000A3F2B" w:rsidP="006E72FF">
      <w:pPr>
        <w:pStyle w:val="BodyText"/>
      </w:pPr>
      <w:r w:rsidRPr="00A303CA">
        <w:rPr>
          <w:szCs w:val="22"/>
        </w:rPr>
        <w:t xml:space="preserve">There are no </w:t>
      </w:r>
      <w:r w:rsidR="0024009B">
        <w:rPr>
          <w:szCs w:val="22"/>
        </w:rPr>
        <w:t xml:space="preserve">capital </w:t>
      </w:r>
      <w:r w:rsidRPr="00A303CA">
        <w:rPr>
          <w:szCs w:val="22"/>
        </w:rPr>
        <w:t xml:space="preserve">improvement projects </w:t>
      </w:r>
      <w:r>
        <w:rPr>
          <w:szCs w:val="22"/>
        </w:rPr>
        <w:t xml:space="preserve">currently </w:t>
      </w:r>
      <w:r w:rsidRPr="00A303CA">
        <w:rPr>
          <w:szCs w:val="22"/>
        </w:rPr>
        <w:t>i</w:t>
      </w:r>
      <w:r w:rsidR="00060579">
        <w:rPr>
          <w:szCs w:val="22"/>
        </w:rPr>
        <w:t>dentified that would add juvenile d</w:t>
      </w:r>
      <w:r>
        <w:rPr>
          <w:szCs w:val="22"/>
        </w:rPr>
        <w:t xml:space="preserve">etention space within the </w:t>
      </w:r>
      <w:r w:rsidRPr="00A303CA">
        <w:rPr>
          <w:szCs w:val="22"/>
        </w:rPr>
        <w:t xml:space="preserve">20 year planning period. </w:t>
      </w:r>
      <w:r w:rsidR="00C35CC4" w:rsidRPr="008C763A">
        <w:rPr>
          <w:szCs w:val="22"/>
        </w:rPr>
        <w:t xml:space="preserve">However, </w:t>
      </w:r>
      <w:r w:rsidR="00C35CC4">
        <w:rPr>
          <w:szCs w:val="22"/>
        </w:rPr>
        <w:t>the County will monitor</w:t>
      </w:r>
      <w:r w:rsidR="00C35CC4" w:rsidRPr="008C763A">
        <w:rPr>
          <w:szCs w:val="22"/>
        </w:rPr>
        <w:t xml:space="preserve"> the adequ</w:t>
      </w:r>
      <w:r w:rsidR="00C35CC4">
        <w:rPr>
          <w:szCs w:val="22"/>
        </w:rPr>
        <w:t>acy of juvenile detention</w:t>
      </w:r>
      <w:r w:rsidR="00C35CC4" w:rsidRPr="008C763A">
        <w:rPr>
          <w:szCs w:val="22"/>
        </w:rPr>
        <w:t xml:space="preserve"> facilities</w:t>
      </w:r>
      <w:r w:rsidR="00060579">
        <w:rPr>
          <w:szCs w:val="22"/>
        </w:rPr>
        <w:t xml:space="preserve"> and alternative correction methods</w:t>
      </w:r>
      <w:r w:rsidR="00C35CC4" w:rsidRPr="008C763A">
        <w:rPr>
          <w:szCs w:val="22"/>
        </w:rPr>
        <w:t xml:space="preserve"> throughout the planning period and consider capital improvements if warranted in the future.  Maintenance projects will be undertaken as needed.</w:t>
      </w:r>
    </w:p>
    <w:p w:rsidR="00037D4F" w:rsidRDefault="00037D4F" w:rsidP="00037D4F">
      <w:pPr>
        <w:pStyle w:val="BodyText"/>
      </w:pPr>
    </w:p>
    <w:p w:rsidR="00CC7F49" w:rsidRDefault="00CC7F49" w:rsidP="00037D4F">
      <w:pPr>
        <w:pStyle w:val="BodyText"/>
      </w:pPr>
    </w:p>
    <w:p w:rsidR="00CC7F49" w:rsidRDefault="00CC7F49" w:rsidP="00037D4F">
      <w:pPr>
        <w:pStyle w:val="BodyText"/>
      </w:pPr>
    </w:p>
    <w:p w:rsidR="00CC7F49" w:rsidRDefault="00CC7F49" w:rsidP="00037D4F">
      <w:pPr>
        <w:pStyle w:val="BodyText"/>
      </w:pPr>
    </w:p>
    <w:p w:rsidR="00CC7F49" w:rsidRDefault="00CC7F49" w:rsidP="00037D4F">
      <w:pPr>
        <w:pStyle w:val="BodyText"/>
      </w:pPr>
    </w:p>
    <w:p w:rsidR="00CC7F49" w:rsidRDefault="00CC7F49" w:rsidP="00037D4F">
      <w:pPr>
        <w:pStyle w:val="BodyText"/>
      </w:pPr>
    </w:p>
    <w:p w:rsidR="00CC7F49" w:rsidRDefault="00CC7F49" w:rsidP="00037D4F">
      <w:pPr>
        <w:pStyle w:val="BodyText"/>
      </w:pPr>
    </w:p>
    <w:p w:rsidR="003D394F" w:rsidRDefault="003D394F" w:rsidP="00037D4F">
      <w:pPr>
        <w:pStyle w:val="BodyText"/>
      </w:pPr>
    </w:p>
    <w:p w:rsidR="003D394F" w:rsidRDefault="003D394F" w:rsidP="00037D4F">
      <w:pPr>
        <w:pStyle w:val="BodyText"/>
      </w:pPr>
    </w:p>
    <w:p w:rsidR="003D394F" w:rsidRDefault="003D394F" w:rsidP="00037D4F">
      <w:pPr>
        <w:pStyle w:val="BodyText"/>
      </w:pPr>
    </w:p>
    <w:p w:rsidR="00C91511" w:rsidRDefault="00C91511" w:rsidP="00C91511">
      <w:pPr>
        <w:pStyle w:val="TOAHeading"/>
      </w:pPr>
      <w:r>
        <w:lastRenderedPageBreak/>
        <w:t>Chapter 9 – Transportation</w:t>
      </w:r>
    </w:p>
    <w:p w:rsidR="00C91511" w:rsidRDefault="00C91511" w:rsidP="00C91511">
      <w:pPr>
        <w:pStyle w:val="Heading2"/>
        <w:spacing w:before="200"/>
      </w:pPr>
      <w:r>
        <w:t>Transportation (Countywide)</w:t>
      </w:r>
    </w:p>
    <w:p w:rsidR="00C91511" w:rsidRDefault="00C91511" w:rsidP="00C91511">
      <w:pPr>
        <w:pStyle w:val="Heading3"/>
        <w:spacing w:before="200"/>
      </w:pPr>
      <w:bookmarkStart w:id="14" w:name="_Toc245621868"/>
      <w:r>
        <w:t>Overview</w:t>
      </w:r>
      <w:bookmarkEnd w:id="14"/>
    </w:p>
    <w:p w:rsidR="00C91511" w:rsidRDefault="00C91511" w:rsidP="00C91511">
      <w:pPr>
        <w:pStyle w:val="BodyText"/>
      </w:pPr>
      <w:r>
        <w:t xml:space="preserve">Whatcom County’s roadway network is principally made up of County roads as well as state highways, such as I-5 and SR-9, which provide intercity and interstate connections. In addition to the roadway network, Whatcom County also operates a daily ferry service between Gooseberry Point and Lummi Island. </w:t>
      </w:r>
    </w:p>
    <w:p w:rsidR="00C91511" w:rsidRDefault="00C91511" w:rsidP="00C91511">
      <w:pPr>
        <w:pStyle w:val="Heading3"/>
        <w:spacing w:before="200"/>
      </w:pPr>
      <w:r>
        <w:t>Inventory of Current Facilities</w:t>
      </w:r>
    </w:p>
    <w:p w:rsidR="00C91511" w:rsidRDefault="00C91511" w:rsidP="00C91511">
      <w:pPr>
        <w:pStyle w:val="BodyText"/>
      </w:pPr>
      <w:r>
        <w:t>The 20</w:t>
      </w:r>
      <w:r w:rsidR="001675D0">
        <w:t>14</w:t>
      </w:r>
      <w:r>
        <w:t xml:space="preserve"> inventory of County transportation facilities shows a total of </w:t>
      </w:r>
      <w:r w:rsidR="001675D0">
        <w:t>939</w:t>
      </w:r>
      <w:r>
        <w:t xml:space="preserve"> miles of County roads (approximately 358 miles are classified as an arterial or collector roadways). Table 9-1 shows the existing miles of countywide arterial roadways by federal functional classification.</w:t>
      </w:r>
    </w:p>
    <w:p w:rsidR="00C91511" w:rsidRDefault="00C91511" w:rsidP="00C91511">
      <w:pPr>
        <w:pStyle w:val="Caption"/>
        <w:spacing w:before="240"/>
      </w:pPr>
      <w:r w:rsidRPr="00D97B55">
        <w:t>Table 9-1.</w:t>
      </w:r>
      <w:r>
        <w:tab/>
        <w:t>Inventory of County Roadways by Functional Classification</w:t>
      </w:r>
    </w:p>
    <w:tbl>
      <w:tblPr>
        <w:tblW w:w="7920" w:type="dxa"/>
        <w:tblInd w:w="108" w:type="dxa"/>
        <w:tblBorders>
          <w:top w:val="single" w:sz="4" w:space="0" w:color="003366"/>
          <w:bottom w:val="single" w:sz="4" w:space="0" w:color="003366"/>
          <w:insideH w:val="single" w:sz="4" w:space="0" w:color="003366"/>
        </w:tblBorders>
        <w:tblLook w:val="04A0" w:firstRow="1" w:lastRow="0" w:firstColumn="1" w:lastColumn="0" w:noHBand="0" w:noVBand="1"/>
      </w:tblPr>
      <w:tblGrid>
        <w:gridCol w:w="2610"/>
        <w:gridCol w:w="3600"/>
        <w:gridCol w:w="1710"/>
      </w:tblGrid>
      <w:tr w:rsidR="00C91511" w:rsidTr="00C91511">
        <w:trPr>
          <w:cantSplit/>
        </w:trPr>
        <w:tc>
          <w:tcPr>
            <w:tcW w:w="2610" w:type="dxa"/>
            <w:noWrap/>
          </w:tcPr>
          <w:p w:rsidR="00C91511" w:rsidRDefault="00C91511" w:rsidP="00C91511">
            <w:pPr>
              <w:pStyle w:val="TableHeader"/>
              <w:jc w:val="left"/>
            </w:pPr>
            <w:r>
              <w:t>Functional Classification</w:t>
            </w:r>
          </w:p>
        </w:tc>
        <w:tc>
          <w:tcPr>
            <w:tcW w:w="3600" w:type="dxa"/>
            <w:noWrap/>
          </w:tcPr>
          <w:p w:rsidR="00C91511" w:rsidRDefault="00C91511" w:rsidP="00C91511">
            <w:pPr>
              <w:pStyle w:val="TableHeader"/>
            </w:pPr>
            <w:r>
              <w:t>Total Miles of Roadway (centerline miles)</w:t>
            </w:r>
          </w:p>
        </w:tc>
        <w:tc>
          <w:tcPr>
            <w:tcW w:w="1710" w:type="dxa"/>
          </w:tcPr>
          <w:p w:rsidR="00C91511" w:rsidRDefault="00C91511" w:rsidP="00C91511">
            <w:pPr>
              <w:pStyle w:val="TableHeader"/>
            </w:pPr>
            <w:r>
              <w:t>Percent of Total</w:t>
            </w:r>
          </w:p>
        </w:tc>
      </w:tr>
      <w:tr w:rsidR="00C91511" w:rsidTr="00C91511">
        <w:trPr>
          <w:cantSplit/>
        </w:trPr>
        <w:tc>
          <w:tcPr>
            <w:tcW w:w="2610" w:type="dxa"/>
            <w:tcBorders>
              <w:bottom w:val="single" w:sz="2" w:space="0" w:color="003366"/>
            </w:tcBorders>
            <w:noWrap/>
          </w:tcPr>
          <w:p w:rsidR="00C91511" w:rsidRDefault="00C91511" w:rsidP="00C91511">
            <w:pPr>
              <w:pStyle w:val="TableText"/>
            </w:pPr>
            <w:r>
              <w:t xml:space="preserve">Rural Major Collector </w:t>
            </w:r>
          </w:p>
        </w:tc>
        <w:tc>
          <w:tcPr>
            <w:tcW w:w="3600" w:type="dxa"/>
            <w:tcBorders>
              <w:bottom w:val="single" w:sz="2" w:space="0" w:color="003366"/>
            </w:tcBorders>
            <w:noWrap/>
          </w:tcPr>
          <w:p w:rsidR="00C91511" w:rsidRDefault="00C91511" w:rsidP="00C91511">
            <w:pPr>
              <w:pStyle w:val="TableText"/>
              <w:jc w:val="center"/>
            </w:pPr>
            <w:r>
              <w:t>134.1</w:t>
            </w:r>
          </w:p>
        </w:tc>
        <w:tc>
          <w:tcPr>
            <w:tcW w:w="1710" w:type="dxa"/>
            <w:tcBorders>
              <w:bottom w:val="single" w:sz="2" w:space="0" w:color="003366"/>
            </w:tcBorders>
            <w:noWrap/>
          </w:tcPr>
          <w:p w:rsidR="00C91511" w:rsidRDefault="00C91511" w:rsidP="00C91511">
            <w:pPr>
              <w:pStyle w:val="TableText"/>
              <w:jc w:val="center"/>
            </w:pPr>
            <w:r>
              <w:t>14%</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 xml:space="preserve">Rural Minor Collector </w:t>
            </w:r>
          </w:p>
        </w:tc>
        <w:tc>
          <w:tcPr>
            <w:tcW w:w="3600" w:type="dxa"/>
            <w:tcBorders>
              <w:top w:val="single" w:sz="2" w:space="0" w:color="003366"/>
              <w:bottom w:val="single" w:sz="2" w:space="0" w:color="003366"/>
            </w:tcBorders>
            <w:noWrap/>
          </w:tcPr>
          <w:p w:rsidR="00C91511" w:rsidRDefault="00C91511" w:rsidP="00C91511">
            <w:pPr>
              <w:pStyle w:val="TableText"/>
              <w:jc w:val="center"/>
            </w:pPr>
            <w:r>
              <w:t>154.2</w:t>
            </w:r>
          </w:p>
        </w:tc>
        <w:tc>
          <w:tcPr>
            <w:tcW w:w="1710" w:type="dxa"/>
            <w:tcBorders>
              <w:top w:val="single" w:sz="2" w:space="0" w:color="003366"/>
              <w:bottom w:val="single" w:sz="2" w:space="0" w:color="003366"/>
            </w:tcBorders>
            <w:noWrap/>
          </w:tcPr>
          <w:p w:rsidR="00C91511" w:rsidRDefault="00C91511" w:rsidP="00C91511">
            <w:pPr>
              <w:pStyle w:val="TableText"/>
              <w:jc w:val="center"/>
            </w:pPr>
            <w:r>
              <w:t>16%</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Rural Local Access</w:t>
            </w:r>
          </w:p>
        </w:tc>
        <w:tc>
          <w:tcPr>
            <w:tcW w:w="3600" w:type="dxa"/>
            <w:tcBorders>
              <w:top w:val="single" w:sz="2" w:space="0" w:color="003366"/>
              <w:bottom w:val="single" w:sz="2" w:space="0" w:color="003366"/>
            </w:tcBorders>
            <w:noWrap/>
          </w:tcPr>
          <w:p w:rsidR="00C91511" w:rsidRDefault="00C91511" w:rsidP="00C91511">
            <w:pPr>
              <w:pStyle w:val="TableText"/>
              <w:jc w:val="center"/>
            </w:pPr>
            <w:r>
              <w:t>455.8</w:t>
            </w:r>
          </w:p>
        </w:tc>
        <w:tc>
          <w:tcPr>
            <w:tcW w:w="1710" w:type="dxa"/>
            <w:tcBorders>
              <w:top w:val="single" w:sz="2" w:space="0" w:color="003366"/>
              <w:bottom w:val="single" w:sz="2" w:space="0" w:color="003366"/>
            </w:tcBorders>
            <w:noWrap/>
          </w:tcPr>
          <w:p w:rsidR="00C91511" w:rsidRDefault="00C91511" w:rsidP="00C91511">
            <w:pPr>
              <w:pStyle w:val="TableText"/>
              <w:jc w:val="center"/>
            </w:pPr>
            <w:r>
              <w:t>49%</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 xml:space="preserve">Urban Principal Arterial </w:t>
            </w:r>
          </w:p>
        </w:tc>
        <w:tc>
          <w:tcPr>
            <w:tcW w:w="3600" w:type="dxa"/>
            <w:tcBorders>
              <w:top w:val="single" w:sz="2" w:space="0" w:color="003366"/>
              <w:bottom w:val="single" w:sz="2" w:space="0" w:color="003366"/>
            </w:tcBorders>
            <w:noWrap/>
          </w:tcPr>
          <w:p w:rsidR="00C91511" w:rsidRDefault="00C91511" w:rsidP="00C91511">
            <w:pPr>
              <w:pStyle w:val="TableText"/>
              <w:jc w:val="center"/>
            </w:pPr>
            <w:r>
              <w:t>0.3</w:t>
            </w:r>
          </w:p>
        </w:tc>
        <w:tc>
          <w:tcPr>
            <w:tcW w:w="1710" w:type="dxa"/>
            <w:tcBorders>
              <w:top w:val="single" w:sz="2" w:space="0" w:color="003366"/>
              <w:bottom w:val="single" w:sz="2" w:space="0" w:color="003366"/>
            </w:tcBorders>
            <w:noWrap/>
          </w:tcPr>
          <w:p w:rsidR="00C91511" w:rsidRDefault="00C91511" w:rsidP="00C91511">
            <w:pPr>
              <w:pStyle w:val="TableText"/>
              <w:jc w:val="center"/>
            </w:pPr>
            <w:r>
              <w:t>0%</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 xml:space="preserve">Urban Minor Arterial </w:t>
            </w:r>
          </w:p>
        </w:tc>
        <w:tc>
          <w:tcPr>
            <w:tcW w:w="3600" w:type="dxa"/>
            <w:tcBorders>
              <w:top w:val="single" w:sz="2" w:space="0" w:color="003366"/>
              <w:bottom w:val="single" w:sz="2" w:space="0" w:color="003366"/>
            </w:tcBorders>
            <w:noWrap/>
          </w:tcPr>
          <w:p w:rsidR="00C91511" w:rsidRDefault="00C91511" w:rsidP="00C91511">
            <w:pPr>
              <w:pStyle w:val="TableText"/>
              <w:jc w:val="center"/>
            </w:pPr>
            <w:r>
              <w:t>25.5</w:t>
            </w:r>
          </w:p>
        </w:tc>
        <w:tc>
          <w:tcPr>
            <w:tcW w:w="1710" w:type="dxa"/>
            <w:tcBorders>
              <w:top w:val="single" w:sz="2" w:space="0" w:color="003366"/>
              <w:bottom w:val="single" w:sz="2" w:space="0" w:color="003366"/>
            </w:tcBorders>
            <w:noWrap/>
          </w:tcPr>
          <w:p w:rsidR="00C91511" w:rsidRDefault="00C91511" w:rsidP="00C91511">
            <w:pPr>
              <w:pStyle w:val="TableText"/>
              <w:jc w:val="center"/>
            </w:pPr>
            <w:r>
              <w:t>3%</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 xml:space="preserve">Urban Collector </w:t>
            </w:r>
          </w:p>
        </w:tc>
        <w:tc>
          <w:tcPr>
            <w:tcW w:w="3600" w:type="dxa"/>
            <w:tcBorders>
              <w:top w:val="single" w:sz="2" w:space="0" w:color="003366"/>
              <w:bottom w:val="single" w:sz="2" w:space="0" w:color="003366"/>
            </w:tcBorders>
            <w:noWrap/>
          </w:tcPr>
          <w:p w:rsidR="00C91511" w:rsidRDefault="00C91511" w:rsidP="00C91511">
            <w:pPr>
              <w:pStyle w:val="TableText"/>
              <w:jc w:val="center"/>
            </w:pPr>
            <w:r>
              <w:t>37.8</w:t>
            </w:r>
          </w:p>
        </w:tc>
        <w:tc>
          <w:tcPr>
            <w:tcW w:w="1710" w:type="dxa"/>
            <w:tcBorders>
              <w:top w:val="single" w:sz="2" w:space="0" w:color="003366"/>
              <w:bottom w:val="single" w:sz="2" w:space="0" w:color="003366"/>
            </w:tcBorders>
            <w:noWrap/>
          </w:tcPr>
          <w:p w:rsidR="00C91511" w:rsidRDefault="00C91511" w:rsidP="00C91511">
            <w:pPr>
              <w:pStyle w:val="TableText"/>
              <w:jc w:val="center"/>
            </w:pPr>
            <w:r>
              <w:t>4%</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Urban Minor Collector</w:t>
            </w:r>
          </w:p>
        </w:tc>
        <w:tc>
          <w:tcPr>
            <w:tcW w:w="3600" w:type="dxa"/>
            <w:tcBorders>
              <w:top w:val="single" w:sz="2" w:space="0" w:color="003366"/>
              <w:bottom w:val="single" w:sz="2" w:space="0" w:color="003366"/>
            </w:tcBorders>
            <w:noWrap/>
          </w:tcPr>
          <w:p w:rsidR="00C91511" w:rsidRDefault="00C91511" w:rsidP="00C91511">
            <w:pPr>
              <w:pStyle w:val="TableText"/>
              <w:jc w:val="center"/>
            </w:pPr>
            <w:r>
              <w:t>6.4</w:t>
            </w:r>
          </w:p>
        </w:tc>
        <w:tc>
          <w:tcPr>
            <w:tcW w:w="1710" w:type="dxa"/>
            <w:tcBorders>
              <w:top w:val="single" w:sz="2" w:space="0" w:color="003366"/>
              <w:bottom w:val="single" w:sz="2" w:space="0" w:color="003366"/>
            </w:tcBorders>
            <w:noWrap/>
          </w:tcPr>
          <w:p w:rsidR="00C91511" w:rsidRDefault="00C91511" w:rsidP="00C91511">
            <w:pPr>
              <w:pStyle w:val="TableText"/>
              <w:jc w:val="center"/>
            </w:pPr>
            <w:r>
              <w:t>1%</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pPr>
            <w:r>
              <w:t>Urban Local Access</w:t>
            </w:r>
          </w:p>
        </w:tc>
        <w:tc>
          <w:tcPr>
            <w:tcW w:w="3600" w:type="dxa"/>
            <w:tcBorders>
              <w:top w:val="single" w:sz="2" w:space="0" w:color="003366"/>
              <w:bottom w:val="single" w:sz="2" w:space="0" w:color="003366"/>
            </w:tcBorders>
            <w:noWrap/>
          </w:tcPr>
          <w:p w:rsidR="00C91511" w:rsidRDefault="00C91511" w:rsidP="00C91511">
            <w:pPr>
              <w:pStyle w:val="TableText"/>
              <w:jc w:val="center"/>
            </w:pPr>
            <w:r>
              <w:t>125.5</w:t>
            </w:r>
          </w:p>
        </w:tc>
        <w:tc>
          <w:tcPr>
            <w:tcW w:w="1710" w:type="dxa"/>
            <w:tcBorders>
              <w:top w:val="single" w:sz="2" w:space="0" w:color="003366"/>
              <w:bottom w:val="single" w:sz="2" w:space="0" w:color="003366"/>
            </w:tcBorders>
            <w:noWrap/>
          </w:tcPr>
          <w:p w:rsidR="00C91511" w:rsidRDefault="00C91511" w:rsidP="00C91511">
            <w:pPr>
              <w:pStyle w:val="TableText"/>
              <w:jc w:val="center"/>
            </w:pPr>
            <w:r>
              <w:t>13%</w:t>
            </w:r>
          </w:p>
        </w:tc>
      </w:tr>
      <w:tr w:rsidR="00C91511" w:rsidTr="00C91511">
        <w:trPr>
          <w:cantSplit/>
        </w:trPr>
        <w:tc>
          <w:tcPr>
            <w:tcW w:w="2610" w:type="dxa"/>
            <w:tcBorders>
              <w:top w:val="single" w:sz="2" w:space="0" w:color="003366"/>
              <w:bottom w:val="single" w:sz="2" w:space="0" w:color="003366"/>
            </w:tcBorders>
            <w:noWrap/>
          </w:tcPr>
          <w:p w:rsidR="00C91511" w:rsidRDefault="00C91511" w:rsidP="00C91511">
            <w:pPr>
              <w:pStyle w:val="TableText"/>
              <w:rPr>
                <w:b/>
                <w:bCs/>
              </w:rPr>
            </w:pPr>
            <w:r>
              <w:rPr>
                <w:b/>
                <w:bCs/>
              </w:rPr>
              <w:t>Subtotal</w:t>
            </w:r>
          </w:p>
        </w:tc>
        <w:tc>
          <w:tcPr>
            <w:tcW w:w="3600" w:type="dxa"/>
            <w:tcBorders>
              <w:top w:val="single" w:sz="2" w:space="0" w:color="003366"/>
              <w:bottom w:val="single" w:sz="2" w:space="0" w:color="003366"/>
            </w:tcBorders>
            <w:noWrap/>
          </w:tcPr>
          <w:p w:rsidR="00C91511" w:rsidRDefault="00C91511" w:rsidP="00C91511">
            <w:pPr>
              <w:pStyle w:val="TableText"/>
              <w:jc w:val="center"/>
              <w:rPr>
                <w:b/>
                <w:bCs/>
              </w:rPr>
            </w:pPr>
            <w:r>
              <w:rPr>
                <w:b/>
                <w:bCs/>
              </w:rPr>
              <w:t>939.5</w:t>
            </w:r>
          </w:p>
        </w:tc>
        <w:tc>
          <w:tcPr>
            <w:tcW w:w="1710" w:type="dxa"/>
            <w:tcBorders>
              <w:top w:val="single" w:sz="2" w:space="0" w:color="003366"/>
              <w:bottom w:val="single" w:sz="2" w:space="0" w:color="003366"/>
            </w:tcBorders>
            <w:noWrap/>
          </w:tcPr>
          <w:p w:rsidR="00C91511" w:rsidRDefault="00C91511" w:rsidP="00C91511">
            <w:pPr>
              <w:pStyle w:val="TableText"/>
              <w:jc w:val="center"/>
              <w:rPr>
                <w:b/>
                <w:bCs/>
              </w:rPr>
            </w:pPr>
            <w:r>
              <w:rPr>
                <w:b/>
                <w:bCs/>
              </w:rPr>
              <w:t>100%</w:t>
            </w:r>
          </w:p>
        </w:tc>
      </w:tr>
    </w:tbl>
    <w:p w:rsidR="00C91511" w:rsidRDefault="00C91511" w:rsidP="00C91511">
      <w:pPr>
        <w:pStyle w:val="TableNotes"/>
        <w:ind w:left="90" w:right="1080"/>
      </w:pPr>
      <w:r>
        <w:t>Source: Whatcom County Public Works Road Log, (Dec. 31, 2014)</w:t>
      </w:r>
    </w:p>
    <w:p w:rsidR="00C91511" w:rsidRDefault="00C91511" w:rsidP="00C91511">
      <w:pPr>
        <w:pStyle w:val="BodyText"/>
      </w:pPr>
    </w:p>
    <w:p w:rsidR="00C91511" w:rsidRDefault="00C91511" w:rsidP="00C91511">
      <w:pPr>
        <w:pStyle w:val="BodyText"/>
      </w:pPr>
      <w:r>
        <w:t>In addition to the roadway network discussed above, the County owns one ferry vessel which it uses to provide its Lummi Island ferry service.</w:t>
      </w:r>
    </w:p>
    <w:p w:rsidR="00C91511" w:rsidRDefault="00C91511" w:rsidP="00C91511">
      <w:pPr>
        <w:pStyle w:val="BodyText"/>
      </w:pPr>
    </w:p>
    <w:p w:rsidR="00C91511" w:rsidRDefault="00C91511" w:rsidP="00C91511">
      <w:pPr>
        <w:pStyle w:val="BodyText"/>
      </w:pPr>
    </w:p>
    <w:p w:rsidR="00C91511" w:rsidRDefault="00C91511" w:rsidP="00C91511">
      <w:pPr>
        <w:pStyle w:val="BodyText"/>
      </w:pPr>
    </w:p>
    <w:p w:rsidR="002E4A7F" w:rsidRDefault="002E4A7F" w:rsidP="00C91511">
      <w:pPr>
        <w:pStyle w:val="BodyText"/>
      </w:pPr>
    </w:p>
    <w:p w:rsidR="002E4A7F" w:rsidRDefault="002E4A7F" w:rsidP="00C91511">
      <w:pPr>
        <w:pStyle w:val="BodyText"/>
      </w:pPr>
    </w:p>
    <w:p w:rsidR="002E4A7F" w:rsidRDefault="002E4A7F" w:rsidP="002E4A7F">
      <w:pPr>
        <w:pStyle w:val="Heading3"/>
      </w:pPr>
      <w:r>
        <w:lastRenderedPageBreak/>
        <w:t>Future Needs</w:t>
      </w:r>
    </w:p>
    <w:p w:rsidR="00C91511" w:rsidRDefault="00C91511" w:rsidP="00C91511">
      <w:pPr>
        <w:pStyle w:val="Heading4"/>
        <w:spacing w:before="200"/>
      </w:pPr>
      <w:r>
        <w:t>County LOS Standards</w:t>
      </w:r>
    </w:p>
    <w:p w:rsidR="00C91511" w:rsidRDefault="00C91511" w:rsidP="00C91511">
      <w:pPr>
        <w:pStyle w:val="BodyText"/>
      </w:pPr>
      <w:r>
        <w:t xml:space="preserve">The Whatcom County Comprehensive Plan’s Chapter Six establishes LOS standards for transportation facilities. Motor vehicle LOS for roadway segments is based on a volume/capacity (V/C) ratio, the estimated peak-hour volume of a roadway segment divided by the estimated hourly capacity of that segment, as categorized in Table 9-2. </w:t>
      </w:r>
    </w:p>
    <w:p w:rsidR="00C91511" w:rsidRDefault="00C91511" w:rsidP="00C91511">
      <w:pPr>
        <w:pStyle w:val="Caption"/>
      </w:pPr>
      <w:r w:rsidRPr="00D97B55">
        <w:t xml:space="preserve">Table </w:t>
      </w:r>
      <w:r>
        <w:t>9-2.</w:t>
      </w:r>
      <w:r>
        <w:tab/>
        <w:t>Level of Service Designations by Volume/Capacity</w:t>
      </w:r>
    </w:p>
    <w:p w:rsidR="00C91511" w:rsidRPr="009A6029" w:rsidRDefault="00C91511" w:rsidP="00C91511"/>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530"/>
      </w:tblGrid>
      <w:tr w:rsidR="00C91511" w:rsidRPr="009A6029" w:rsidTr="00C91511">
        <w:tc>
          <w:tcPr>
            <w:tcW w:w="1908" w:type="dxa"/>
            <w:tcBorders>
              <w:top w:val="single" w:sz="4" w:space="0" w:color="auto"/>
              <w:bottom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rPr>
                <w:b/>
              </w:rPr>
            </w:pPr>
            <w:r w:rsidRPr="009A6029">
              <w:rPr>
                <w:b/>
              </w:rPr>
              <w:t>LOS Designation</w:t>
            </w:r>
          </w:p>
        </w:tc>
        <w:tc>
          <w:tcPr>
            <w:tcW w:w="1530" w:type="dxa"/>
            <w:tcBorders>
              <w:top w:val="single" w:sz="4" w:space="0" w:color="auto"/>
              <w:bottom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rPr>
                <w:b/>
              </w:rPr>
            </w:pPr>
            <w:r w:rsidRPr="009A6029">
              <w:rPr>
                <w:b/>
              </w:rPr>
              <w:t>V/C Range</w:t>
            </w:r>
          </w:p>
        </w:tc>
      </w:tr>
      <w:tr w:rsidR="00C91511" w:rsidRPr="0056116E" w:rsidTr="00C91511">
        <w:tc>
          <w:tcPr>
            <w:tcW w:w="1908" w:type="dxa"/>
            <w:tcBorders>
              <w:top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A</w:t>
            </w:r>
          </w:p>
        </w:tc>
        <w:tc>
          <w:tcPr>
            <w:tcW w:w="1530" w:type="dxa"/>
            <w:tcBorders>
              <w:top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0-0.59</w:t>
            </w:r>
          </w:p>
        </w:tc>
      </w:tr>
      <w:tr w:rsidR="00C91511" w:rsidRPr="0056116E" w:rsidTr="00C91511">
        <w:tc>
          <w:tcPr>
            <w:tcW w:w="1908"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B</w:t>
            </w:r>
          </w:p>
        </w:tc>
        <w:tc>
          <w:tcPr>
            <w:tcW w:w="1530"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0.60-0.69</w:t>
            </w:r>
          </w:p>
        </w:tc>
      </w:tr>
      <w:tr w:rsidR="00C91511" w:rsidRPr="0056116E" w:rsidTr="00C91511">
        <w:tc>
          <w:tcPr>
            <w:tcW w:w="1908"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C</w:t>
            </w:r>
          </w:p>
        </w:tc>
        <w:tc>
          <w:tcPr>
            <w:tcW w:w="1530"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0.70-0.79</w:t>
            </w:r>
          </w:p>
        </w:tc>
      </w:tr>
      <w:tr w:rsidR="00C91511" w:rsidRPr="0056116E" w:rsidTr="00C91511">
        <w:tc>
          <w:tcPr>
            <w:tcW w:w="1908"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D</w:t>
            </w:r>
          </w:p>
        </w:tc>
        <w:tc>
          <w:tcPr>
            <w:tcW w:w="1530"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0.80-0.89</w:t>
            </w:r>
          </w:p>
        </w:tc>
      </w:tr>
      <w:tr w:rsidR="00C91511" w:rsidRPr="0056116E" w:rsidTr="00C91511">
        <w:tc>
          <w:tcPr>
            <w:tcW w:w="1908"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E</w:t>
            </w:r>
          </w:p>
        </w:tc>
        <w:tc>
          <w:tcPr>
            <w:tcW w:w="1530" w:type="dxa"/>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0.90-0.99</w:t>
            </w:r>
          </w:p>
        </w:tc>
      </w:tr>
      <w:tr w:rsidR="00C91511" w:rsidRPr="00B97016" w:rsidTr="00C91511">
        <w:tc>
          <w:tcPr>
            <w:tcW w:w="1908" w:type="dxa"/>
            <w:tcBorders>
              <w:bottom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F</w:t>
            </w:r>
          </w:p>
        </w:tc>
        <w:tc>
          <w:tcPr>
            <w:tcW w:w="1530" w:type="dxa"/>
            <w:tcBorders>
              <w:bottom w:val="single" w:sz="4" w:space="0" w:color="auto"/>
            </w:tcBorders>
          </w:tcPr>
          <w:p w:rsidR="00C91511" w:rsidRPr="009A6029" w:rsidRDefault="00C91511" w:rsidP="00C91511">
            <w:pPr>
              <w:tabs>
                <w:tab w:val="left" w:pos="-720"/>
                <w:tab w:val="left" w:pos="2160"/>
                <w:tab w:val="left" w:pos="2880"/>
                <w:tab w:val="left" w:pos="3801"/>
                <w:tab w:val="left" w:pos="4320"/>
                <w:tab w:val="left" w:pos="5040"/>
                <w:tab w:val="left" w:pos="5760"/>
                <w:tab w:val="left" w:pos="6480"/>
                <w:tab w:val="left" w:pos="7200"/>
                <w:tab w:val="left" w:pos="7920"/>
                <w:tab w:val="left" w:pos="8640"/>
                <w:tab w:val="left" w:pos="9360"/>
              </w:tabs>
              <w:jc w:val="center"/>
            </w:pPr>
            <w:r w:rsidRPr="009A6029">
              <w:t>&gt;1.00</w:t>
            </w:r>
          </w:p>
        </w:tc>
      </w:tr>
    </w:tbl>
    <w:p w:rsidR="00C91511" w:rsidRDefault="00C91511" w:rsidP="00C91511">
      <w:pPr>
        <w:pStyle w:val="BodyText"/>
      </w:pPr>
    </w:p>
    <w:p w:rsidR="00C91511" w:rsidRDefault="00C91511" w:rsidP="00C91511">
      <w:pPr>
        <w:pStyle w:val="BodyText"/>
      </w:pPr>
      <w:r>
        <w:t xml:space="preserve">Whatcom County’s adopted transportation LOS standards for roadway segments are set in Comprehensive Plan Policies 6A-1 through 6A-4. For </w:t>
      </w:r>
      <w:r w:rsidRPr="00A12108">
        <w:t>county arterials</w:t>
      </w:r>
      <w:r>
        <w:t xml:space="preserve"> and major collectors</w:t>
      </w:r>
      <w:r w:rsidRPr="00A12108">
        <w:t xml:space="preserve"> located outside of urban growth areas during weekday p.m.-peak hours</w:t>
      </w:r>
      <w:r>
        <w:t>, the adopted LOS</w:t>
      </w:r>
      <w:r w:rsidRPr="00A12108">
        <w:t xml:space="preserve"> is C or better, except for specified primary routes as shown on Map 6-2, which have a LOS of D or better.</w:t>
      </w:r>
      <w:r w:rsidRPr="00AC702A">
        <w:t xml:space="preserve"> </w:t>
      </w:r>
      <w:r w:rsidRPr="00A12108">
        <w:t xml:space="preserve">The LOS standard for county arterials </w:t>
      </w:r>
      <w:r>
        <w:t xml:space="preserve">and major collectors </w:t>
      </w:r>
      <w:r w:rsidRPr="00A12108">
        <w:t>within urban growth areas during weekday p.m. peak hours is D or better</w:t>
      </w:r>
      <w:r>
        <w:t>.</w:t>
      </w:r>
    </w:p>
    <w:p w:rsidR="00C91511" w:rsidRDefault="00C91511" w:rsidP="00C91511">
      <w:pPr>
        <w:pStyle w:val="BodyText"/>
      </w:pPr>
      <w:r w:rsidRPr="00AC702A">
        <w:t xml:space="preserve"> </w:t>
      </w:r>
    </w:p>
    <w:p w:rsidR="00C91511" w:rsidRDefault="00C91511" w:rsidP="00C91511">
      <w:pPr>
        <w:pStyle w:val="Heading4"/>
        <w:spacing w:before="200"/>
      </w:pPr>
      <w:r>
        <w:t>LOS Analysis</w:t>
      </w:r>
    </w:p>
    <w:p w:rsidR="00C91511" w:rsidRDefault="00C91511" w:rsidP="00C91511">
      <w:pPr>
        <w:pStyle w:val="BodyText"/>
      </w:pPr>
      <w:r>
        <w:t xml:space="preserve">The Transportation LOS analysis is taken from an analysis prepared for the </w:t>
      </w:r>
      <w:r w:rsidR="00D97A12" w:rsidRPr="008D0E94">
        <w:rPr>
          <w:i/>
        </w:rPr>
        <w:t>Final EIS Whatcom County 2016 Comprehensive Plan and Development Regulations Update and Urban Growth Areas Review</w:t>
      </w:r>
      <w:r w:rsidR="00D97A12">
        <w:t xml:space="preserve"> (November 2015)</w:t>
      </w:r>
      <w:r>
        <w:t xml:space="preserve">. Using the Whatcom Council of Governments regional model, the projected population and employment growth was used to estimate the number of trips that will be generated in 2036. These trips were then distributed among transportation analysis zones and assigned to the street network. The result is a model of projected future traffic conditions based on the land use assumptions for each of the studied alternatives. The future transportation network reflects future improvement projects for which funding has been committed. </w:t>
      </w:r>
    </w:p>
    <w:p w:rsidR="00C91511" w:rsidRDefault="00C91511" w:rsidP="00C91511">
      <w:pPr>
        <w:pStyle w:val="BodyText"/>
      </w:pPr>
      <w:r>
        <w:lastRenderedPageBreak/>
        <w:t xml:space="preserve">After the future 2036 traffic volume on each analysis road segment was projected, it was divided by the road’s capacity to calculate the volume to capacity (V/C) ratio. For any segments on which projected V/C would exceed the adopted LOS standard for that road a potential adverse impact was identified, and mitigation identified that would lower V/C to a level within adopted standards. </w:t>
      </w:r>
    </w:p>
    <w:p w:rsidR="00C91511" w:rsidRDefault="00C91511" w:rsidP="00C91511">
      <w:pPr>
        <w:pStyle w:val="BodyText"/>
      </w:pPr>
      <w:r w:rsidRPr="00B820E0">
        <w:t xml:space="preserve">Table </w:t>
      </w:r>
      <w:r>
        <w:t>9-3</w:t>
      </w:r>
      <w:r w:rsidRPr="002275A7">
        <w:t xml:space="preserve"> </w:t>
      </w:r>
      <w:r>
        <w:t>list</w:t>
      </w:r>
      <w:r w:rsidRPr="002275A7">
        <w:t xml:space="preserve">s the county roads with projected </w:t>
      </w:r>
      <w:r>
        <w:t>2036</w:t>
      </w:r>
      <w:r w:rsidRPr="002275A7">
        <w:t xml:space="preserve"> V/C ratios that exceed LOS standards</w:t>
      </w:r>
      <w:r>
        <w:t xml:space="preserve"> under the Final EIS preferred alternative.  A total of 1.64 miles of County roadways are projected to be deficient, or about 0.5% of the total 358 miles of County arterial and collector roads</w:t>
      </w:r>
      <w:r w:rsidRPr="002275A7">
        <w:t>.</w:t>
      </w:r>
      <w:r>
        <w:t xml:space="preserve"> </w:t>
      </w:r>
    </w:p>
    <w:p w:rsidR="00C91511" w:rsidRDefault="00C91511" w:rsidP="00C91511">
      <w:pPr>
        <w:pStyle w:val="Caption"/>
      </w:pPr>
      <w:r w:rsidRPr="00D97B55">
        <w:t xml:space="preserve">Table </w:t>
      </w:r>
      <w:r>
        <w:t>9-3.</w:t>
      </w:r>
      <w:r>
        <w:tab/>
        <w:t>Roadways with Deficient Segments by 2036</w:t>
      </w:r>
    </w:p>
    <w:tbl>
      <w:tblPr>
        <w:tblW w:w="84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1512"/>
        <w:gridCol w:w="2448"/>
        <w:gridCol w:w="810"/>
        <w:gridCol w:w="1350"/>
        <w:gridCol w:w="1350"/>
      </w:tblGrid>
      <w:tr w:rsidR="00C91511" w:rsidTr="00C91511">
        <w:trPr>
          <w:trHeight w:val="107"/>
          <w:tblHeader/>
        </w:trPr>
        <w:tc>
          <w:tcPr>
            <w:tcW w:w="983" w:type="dxa"/>
            <w:vMerge w:val="restart"/>
            <w:tcBorders>
              <w:left w:val="nil"/>
              <w:right w:val="nil"/>
            </w:tcBorders>
            <w:vAlign w:val="bottom"/>
          </w:tcPr>
          <w:p w:rsidR="00C91511" w:rsidRDefault="00C91511" w:rsidP="00C91511">
            <w:pPr>
              <w:pStyle w:val="TableHeader"/>
            </w:pPr>
            <w:r>
              <w:t>Analysis ID</w:t>
            </w:r>
          </w:p>
        </w:tc>
        <w:tc>
          <w:tcPr>
            <w:tcW w:w="1512" w:type="dxa"/>
            <w:vMerge w:val="restart"/>
            <w:tcBorders>
              <w:left w:val="nil"/>
              <w:right w:val="nil"/>
            </w:tcBorders>
            <w:vAlign w:val="bottom"/>
          </w:tcPr>
          <w:p w:rsidR="00C91511" w:rsidRDefault="00C91511" w:rsidP="00C91511">
            <w:pPr>
              <w:pStyle w:val="TableHeader"/>
              <w:jc w:val="left"/>
            </w:pPr>
            <w:r>
              <w:t>Road Name</w:t>
            </w:r>
          </w:p>
        </w:tc>
        <w:tc>
          <w:tcPr>
            <w:tcW w:w="2448" w:type="dxa"/>
            <w:vMerge w:val="restart"/>
            <w:tcBorders>
              <w:left w:val="nil"/>
              <w:right w:val="nil"/>
            </w:tcBorders>
            <w:vAlign w:val="bottom"/>
          </w:tcPr>
          <w:p w:rsidR="00C91511" w:rsidRDefault="00C91511" w:rsidP="00C91511">
            <w:pPr>
              <w:pStyle w:val="TableHeader"/>
              <w:jc w:val="left"/>
            </w:pPr>
            <w:r>
              <w:t>Location</w:t>
            </w:r>
          </w:p>
        </w:tc>
        <w:tc>
          <w:tcPr>
            <w:tcW w:w="810" w:type="dxa"/>
            <w:vMerge w:val="restart"/>
            <w:tcBorders>
              <w:left w:val="nil"/>
              <w:right w:val="nil"/>
            </w:tcBorders>
            <w:vAlign w:val="bottom"/>
          </w:tcPr>
          <w:p w:rsidR="00C91511" w:rsidRDefault="00C91511" w:rsidP="00C91511">
            <w:pPr>
              <w:pStyle w:val="TableHeader"/>
            </w:pPr>
            <w:r>
              <w:t>Length (mi.)</w:t>
            </w:r>
          </w:p>
        </w:tc>
        <w:tc>
          <w:tcPr>
            <w:tcW w:w="1350" w:type="dxa"/>
            <w:tcBorders>
              <w:top w:val="single" w:sz="4" w:space="0" w:color="auto"/>
              <w:left w:val="nil"/>
              <w:bottom w:val="nil"/>
              <w:right w:val="nil"/>
            </w:tcBorders>
          </w:tcPr>
          <w:p w:rsidR="00C91511" w:rsidRPr="00B820E0" w:rsidRDefault="00C91511" w:rsidP="00C91511">
            <w:pPr>
              <w:pStyle w:val="TableHeader"/>
              <w:rPr>
                <w:sz w:val="8"/>
                <w:szCs w:val="8"/>
              </w:rPr>
            </w:pPr>
          </w:p>
        </w:tc>
        <w:tc>
          <w:tcPr>
            <w:tcW w:w="1350" w:type="dxa"/>
            <w:vMerge w:val="restart"/>
            <w:tcBorders>
              <w:left w:val="nil"/>
              <w:right w:val="nil"/>
            </w:tcBorders>
            <w:vAlign w:val="bottom"/>
          </w:tcPr>
          <w:p w:rsidR="00C91511" w:rsidRDefault="00C91511" w:rsidP="00C91511">
            <w:pPr>
              <w:pStyle w:val="TableHeader"/>
            </w:pPr>
            <w:r>
              <w:t>Projected 2036 LOS V/C</w:t>
            </w:r>
          </w:p>
        </w:tc>
      </w:tr>
      <w:tr w:rsidR="00C91511" w:rsidTr="00C91511">
        <w:trPr>
          <w:trHeight w:val="467"/>
          <w:tblHeader/>
        </w:trPr>
        <w:tc>
          <w:tcPr>
            <w:tcW w:w="983" w:type="dxa"/>
            <w:vMerge/>
            <w:tcBorders>
              <w:left w:val="nil"/>
              <w:bottom w:val="single" w:sz="4" w:space="0" w:color="000000"/>
              <w:right w:val="nil"/>
            </w:tcBorders>
          </w:tcPr>
          <w:p w:rsidR="00C91511" w:rsidRDefault="00C91511" w:rsidP="00C91511">
            <w:pPr>
              <w:pStyle w:val="TableHeader"/>
            </w:pPr>
          </w:p>
        </w:tc>
        <w:tc>
          <w:tcPr>
            <w:tcW w:w="1512" w:type="dxa"/>
            <w:vMerge/>
            <w:tcBorders>
              <w:left w:val="nil"/>
              <w:bottom w:val="single" w:sz="4" w:space="0" w:color="000000"/>
              <w:right w:val="nil"/>
            </w:tcBorders>
            <w:vAlign w:val="bottom"/>
          </w:tcPr>
          <w:p w:rsidR="00C91511" w:rsidRDefault="00C91511" w:rsidP="00C91511">
            <w:pPr>
              <w:pStyle w:val="TableHeader"/>
              <w:jc w:val="left"/>
            </w:pPr>
          </w:p>
        </w:tc>
        <w:tc>
          <w:tcPr>
            <w:tcW w:w="2448" w:type="dxa"/>
            <w:vMerge/>
            <w:tcBorders>
              <w:left w:val="nil"/>
              <w:bottom w:val="single" w:sz="4" w:space="0" w:color="000000"/>
              <w:right w:val="nil"/>
            </w:tcBorders>
            <w:vAlign w:val="bottom"/>
          </w:tcPr>
          <w:p w:rsidR="00C91511" w:rsidRDefault="00C91511" w:rsidP="00C91511">
            <w:pPr>
              <w:pStyle w:val="TableHeader"/>
              <w:jc w:val="left"/>
            </w:pPr>
          </w:p>
        </w:tc>
        <w:tc>
          <w:tcPr>
            <w:tcW w:w="810" w:type="dxa"/>
            <w:vMerge/>
            <w:tcBorders>
              <w:left w:val="nil"/>
              <w:bottom w:val="single" w:sz="4" w:space="0" w:color="000000"/>
              <w:right w:val="nil"/>
            </w:tcBorders>
            <w:vAlign w:val="bottom"/>
          </w:tcPr>
          <w:p w:rsidR="00C91511" w:rsidRDefault="00C91511" w:rsidP="00C91511">
            <w:pPr>
              <w:pStyle w:val="TableHeader"/>
            </w:pPr>
          </w:p>
        </w:tc>
        <w:tc>
          <w:tcPr>
            <w:tcW w:w="1350" w:type="dxa"/>
            <w:tcBorders>
              <w:top w:val="nil"/>
              <w:left w:val="nil"/>
              <w:bottom w:val="single" w:sz="4" w:space="0" w:color="000000"/>
              <w:right w:val="nil"/>
            </w:tcBorders>
          </w:tcPr>
          <w:p w:rsidR="00C91511" w:rsidRDefault="00C91511" w:rsidP="00C91511">
            <w:pPr>
              <w:pStyle w:val="TableHeader"/>
            </w:pPr>
            <w:r>
              <w:t>LOS Standard V/C</w:t>
            </w:r>
          </w:p>
        </w:tc>
        <w:tc>
          <w:tcPr>
            <w:tcW w:w="1350" w:type="dxa"/>
            <w:vMerge/>
            <w:tcBorders>
              <w:left w:val="nil"/>
              <w:bottom w:val="single" w:sz="4" w:space="0" w:color="000000"/>
              <w:right w:val="nil"/>
            </w:tcBorders>
            <w:vAlign w:val="bottom"/>
          </w:tcPr>
          <w:p w:rsidR="00C91511" w:rsidRDefault="00C91511" w:rsidP="00C91511">
            <w:pPr>
              <w:pStyle w:val="TableHeader"/>
            </w:pPr>
          </w:p>
        </w:tc>
      </w:tr>
      <w:tr w:rsidR="00C91511" w:rsidTr="00C91511">
        <w:trPr>
          <w:trHeight w:val="366"/>
        </w:trPr>
        <w:tc>
          <w:tcPr>
            <w:tcW w:w="983" w:type="dxa"/>
            <w:tcBorders>
              <w:top w:val="nil"/>
              <w:left w:val="nil"/>
              <w:bottom w:val="nil"/>
              <w:right w:val="nil"/>
            </w:tcBorders>
          </w:tcPr>
          <w:p w:rsidR="00C91511" w:rsidRDefault="00C91511" w:rsidP="00C91511">
            <w:pPr>
              <w:pStyle w:val="TableText"/>
              <w:spacing w:before="40" w:after="60"/>
              <w:jc w:val="center"/>
            </w:pPr>
            <w:r>
              <w:t>162</w:t>
            </w:r>
          </w:p>
        </w:tc>
        <w:tc>
          <w:tcPr>
            <w:tcW w:w="1512" w:type="dxa"/>
            <w:tcBorders>
              <w:top w:val="nil"/>
              <w:left w:val="nil"/>
              <w:bottom w:val="nil"/>
              <w:right w:val="nil"/>
            </w:tcBorders>
          </w:tcPr>
          <w:p w:rsidR="00C91511" w:rsidRDefault="00C91511" w:rsidP="00C91511">
            <w:pPr>
              <w:pStyle w:val="TableText"/>
              <w:spacing w:before="40" w:after="60"/>
            </w:pPr>
            <w:r>
              <w:t>Hannegan Rd</w:t>
            </w:r>
          </w:p>
        </w:tc>
        <w:tc>
          <w:tcPr>
            <w:tcW w:w="2448" w:type="dxa"/>
            <w:tcBorders>
              <w:top w:val="nil"/>
              <w:left w:val="nil"/>
              <w:bottom w:val="nil"/>
              <w:right w:val="nil"/>
            </w:tcBorders>
          </w:tcPr>
          <w:p w:rsidR="00C91511" w:rsidRDefault="00C91511" w:rsidP="00C91511">
            <w:pPr>
              <w:pStyle w:val="TableText"/>
              <w:spacing w:before="40" w:after="60"/>
            </w:pPr>
            <w:r>
              <w:t>Van Wyck Rd to Kelly Rd</w:t>
            </w:r>
          </w:p>
        </w:tc>
        <w:tc>
          <w:tcPr>
            <w:tcW w:w="810" w:type="dxa"/>
            <w:tcBorders>
              <w:top w:val="nil"/>
              <w:left w:val="nil"/>
              <w:bottom w:val="nil"/>
              <w:right w:val="nil"/>
            </w:tcBorders>
          </w:tcPr>
          <w:p w:rsidR="00C91511" w:rsidRDefault="00C91511" w:rsidP="00C91511">
            <w:pPr>
              <w:pStyle w:val="TableText"/>
              <w:spacing w:before="40" w:after="60"/>
              <w:jc w:val="center"/>
            </w:pPr>
            <w:r>
              <w:t>1.01</w:t>
            </w:r>
          </w:p>
        </w:tc>
        <w:tc>
          <w:tcPr>
            <w:tcW w:w="1350" w:type="dxa"/>
            <w:tcBorders>
              <w:top w:val="nil"/>
              <w:left w:val="nil"/>
              <w:bottom w:val="nil"/>
              <w:right w:val="nil"/>
            </w:tcBorders>
          </w:tcPr>
          <w:p w:rsidR="00C91511" w:rsidRDefault="00C91511" w:rsidP="00C91511">
            <w:pPr>
              <w:pStyle w:val="TableText"/>
              <w:spacing w:before="40" w:after="60"/>
              <w:jc w:val="center"/>
            </w:pPr>
            <w:r>
              <w:t>0.9 (LOS D)</w:t>
            </w:r>
          </w:p>
        </w:tc>
        <w:tc>
          <w:tcPr>
            <w:tcW w:w="1350" w:type="dxa"/>
            <w:tcBorders>
              <w:top w:val="nil"/>
              <w:left w:val="nil"/>
              <w:bottom w:val="nil"/>
              <w:right w:val="nil"/>
            </w:tcBorders>
          </w:tcPr>
          <w:p w:rsidR="00C91511" w:rsidRDefault="00C91511" w:rsidP="00C91511">
            <w:pPr>
              <w:pStyle w:val="TableText"/>
              <w:spacing w:before="40" w:after="60"/>
              <w:jc w:val="center"/>
            </w:pPr>
            <w:r>
              <w:t>0.93 (LOS E)</w:t>
            </w:r>
          </w:p>
        </w:tc>
      </w:tr>
      <w:tr w:rsidR="00C91511" w:rsidTr="00C91511">
        <w:trPr>
          <w:trHeight w:val="366"/>
        </w:trPr>
        <w:tc>
          <w:tcPr>
            <w:tcW w:w="983" w:type="dxa"/>
            <w:tcBorders>
              <w:top w:val="nil"/>
              <w:left w:val="nil"/>
              <w:bottom w:val="nil"/>
              <w:right w:val="nil"/>
            </w:tcBorders>
          </w:tcPr>
          <w:p w:rsidR="00C91511" w:rsidRDefault="00C91511" w:rsidP="00C91511">
            <w:pPr>
              <w:pStyle w:val="TableText"/>
              <w:spacing w:before="40" w:after="60"/>
              <w:jc w:val="center"/>
            </w:pPr>
            <w:r>
              <w:t>243</w:t>
            </w:r>
          </w:p>
        </w:tc>
        <w:tc>
          <w:tcPr>
            <w:tcW w:w="1512" w:type="dxa"/>
            <w:tcBorders>
              <w:top w:val="nil"/>
              <w:left w:val="nil"/>
              <w:bottom w:val="nil"/>
              <w:right w:val="nil"/>
            </w:tcBorders>
          </w:tcPr>
          <w:p w:rsidR="00C91511" w:rsidRDefault="00C91511" w:rsidP="00C91511">
            <w:pPr>
              <w:pStyle w:val="TableText"/>
              <w:spacing w:before="40" w:after="60"/>
            </w:pPr>
            <w:r>
              <w:t>Lakeway Dr</w:t>
            </w:r>
          </w:p>
        </w:tc>
        <w:tc>
          <w:tcPr>
            <w:tcW w:w="2448" w:type="dxa"/>
            <w:tcBorders>
              <w:top w:val="nil"/>
              <w:left w:val="nil"/>
              <w:bottom w:val="nil"/>
              <w:right w:val="nil"/>
            </w:tcBorders>
          </w:tcPr>
          <w:p w:rsidR="00C91511" w:rsidRDefault="00C91511" w:rsidP="00C91511">
            <w:pPr>
              <w:pStyle w:val="TableText"/>
              <w:spacing w:before="40" w:after="60"/>
            </w:pPr>
            <w:r>
              <w:t>Bellingham City Limits to Lowe Ave</w:t>
            </w:r>
          </w:p>
        </w:tc>
        <w:tc>
          <w:tcPr>
            <w:tcW w:w="810" w:type="dxa"/>
            <w:tcBorders>
              <w:top w:val="nil"/>
              <w:left w:val="nil"/>
              <w:bottom w:val="nil"/>
              <w:right w:val="nil"/>
            </w:tcBorders>
          </w:tcPr>
          <w:p w:rsidR="00C91511" w:rsidRDefault="00C91511" w:rsidP="00C91511">
            <w:pPr>
              <w:pStyle w:val="TableText"/>
              <w:spacing w:before="40" w:after="60"/>
              <w:jc w:val="center"/>
            </w:pPr>
            <w:r>
              <w:t>0.42</w:t>
            </w:r>
          </w:p>
        </w:tc>
        <w:tc>
          <w:tcPr>
            <w:tcW w:w="1350" w:type="dxa"/>
            <w:tcBorders>
              <w:top w:val="nil"/>
              <w:left w:val="nil"/>
              <w:bottom w:val="nil"/>
              <w:right w:val="nil"/>
            </w:tcBorders>
          </w:tcPr>
          <w:p w:rsidR="00C91511" w:rsidRDefault="00C91511" w:rsidP="00C91511">
            <w:pPr>
              <w:pStyle w:val="TableText"/>
              <w:spacing w:before="40" w:after="60"/>
              <w:jc w:val="center"/>
            </w:pPr>
            <w:r>
              <w:t>0.9 (LOS D)</w:t>
            </w:r>
          </w:p>
        </w:tc>
        <w:tc>
          <w:tcPr>
            <w:tcW w:w="1350" w:type="dxa"/>
            <w:tcBorders>
              <w:top w:val="nil"/>
              <w:left w:val="nil"/>
              <w:bottom w:val="nil"/>
              <w:right w:val="nil"/>
            </w:tcBorders>
          </w:tcPr>
          <w:p w:rsidR="00C91511" w:rsidRDefault="00C91511" w:rsidP="00C91511">
            <w:pPr>
              <w:pStyle w:val="TableText"/>
              <w:spacing w:before="40" w:after="60"/>
              <w:jc w:val="center"/>
            </w:pPr>
            <w:r>
              <w:t>1.10 (LOS F)</w:t>
            </w:r>
          </w:p>
        </w:tc>
      </w:tr>
      <w:tr w:rsidR="00C91511" w:rsidTr="00C91511">
        <w:trPr>
          <w:trHeight w:val="366"/>
        </w:trPr>
        <w:tc>
          <w:tcPr>
            <w:tcW w:w="983" w:type="dxa"/>
            <w:tcBorders>
              <w:top w:val="nil"/>
              <w:left w:val="nil"/>
              <w:bottom w:val="single" w:sz="4" w:space="0" w:color="auto"/>
              <w:right w:val="nil"/>
            </w:tcBorders>
          </w:tcPr>
          <w:p w:rsidR="00C91511" w:rsidRDefault="00C91511" w:rsidP="00C91511">
            <w:pPr>
              <w:pStyle w:val="TableText"/>
              <w:spacing w:before="40" w:after="60"/>
              <w:jc w:val="center"/>
            </w:pPr>
            <w:r>
              <w:t>244</w:t>
            </w:r>
          </w:p>
        </w:tc>
        <w:tc>
          <w:tcPr>
            <w:tcW w:w="1512" w:type="dxa"/>
            <w:tcBorders>
              <w:top w:val="nil"/>
              <w:left w:val="nil"/>
              <w:bottom w:val="single" w:sz="4" w:space="0" w:color="auto"/>
              <w:right w:val="nil"/>
            </w:tcBorders>
          </w:tcPr>
          <w:p w:rsidR="00C91511" w:rsidRDefault="00C91511" w:rsidP="00C91511">
            <w:pPr>
              <w:pStyle w:val="TableText"/>
              <w:spacing w:before="40" w:after="60"/>
            </w:pPr>
            <w:r>
              <w:t>Lakeway Dr</w:t>
            </w:r>
          </w:p>
        </w:tc>
        <w:tc>
          <w:tcPr>
            <w:tcW w:w="2448" w:type="dxa"/>
            <w:tcBorders>
              <w:top w:val="nil"/>
              <w:left w:val="nil"/>
              <w:bottom w:val="single" w:sz="4" w:space="0" w:color="auto"/>
              <w:right w:val="nil"/>
            </w:tcBorders>
          </w:tcPr>
          <w:p w:rsidR="00C91511" w:rsidRDefault="00C91511" w:rsidP="00C91511">
            <w:pPr>
              <w:pStyle w:val="TableText"/>
              <w:spacing w:before="40" w:after="60"/>
            </w:pPr>
            <w:r>
              <w:t>Lowe Ave to Terrace Ave</w:t>
            </w:r>
          </w:p>
        </w:tc>
        <w:tc>
          <w:tcPr>
            <w:tcW w:w="810" w:type="dxa"/>
            <w:tcBorders>
              <w:top w:val="nil"/>
              <w:left w:val="nil"/>
              <w:bottom w:val="single" w:sz="4" w:space="0" w:color="auto"/>
              <w:right w:val="nil"/>
            </w:tcBorders>
          </w:tcPr>
          <w:p w:rsidR="00C91511" w:rsidRDefault="00C91511" w:rsidP="00C91511">
            <w:pPr>
              <w:pStyle w:val="TableText"/>
              <w:spacing w:before="40" w:after="60"/>
              <w:jc w:val="center"/>
            </w:pPr>
            <w:r>
              <w:t>0.21</w:t>
            </w:r>
          </w:p>
        </w:tc>
        <w:tc>
          <w:tcPr>
            <w:tcW w:w="1350" w:type="dxa"/>
            <w:tcBorders>
              <w:top w:val="nil"/>
              <w:left w:val="nil"/>
              <w:bottom w:val="single" w:sz="4" w:space="0" w:color="auto"/>
              <w:right w:val="nil"/>
            </w:tcBorders>
          </w:tcPr>
          <w:p w:rsidR="00C91511" w:rsidRDefault="00C91511" w:rsidP="00C91511">
            <w:pPr>
              <w:pStyle w:val="TableText"/>
              <w:spacing w:before="40" w:after="60"/>
              <w:jc w:val="center"/>
            </w:pPr>
            <w:r>
              <w:t>0.9 (LOS D)</w:t>
            </w:r>
          </w:p>
        </w:tc>
        <w:tc>
          <w:tcPr>
            <w:tcW w:w="1350" w:type="dxa"/>
            <w:tcBorders>
              <w:top w:val="nil"/>
              <w:left w:val="nil"/>
              <w:bottom w:val="single" w:sz="4" w:space="0" w:color="auto"/>
              <w:right w:val="nil"/>
            </w:tcBorders>
          </w:tcPr>
          <w:p w:rsidR="00C91511" w:rsidRDefault="00C91511" w:rsidP="00C91511">
            <w:pPr>
              <w:pStyle w:val="TableText"/>
              <w:spacing w:before="40" w:after="60"/>
              <w:jc w:val="center"/>
            </w:pPr>
            <w:r>
              <w:t>0.97 (LOS E)</w:t>
            </w:r>
          </w:p>
        </w:tc>
      </w:tr>
      <w:tr w:rsidR="00C91511" w:rsidTr="00C91511">
        <w:trPr>
          <w:trHeight w:val="366"/>
        </w:trPr>
        <w:tc>
          <w:tcPr>
            <w:tcW w:w="983" w:type="dxa"/>
            <w:tcBorders>
              <w:top w:val="single" w:sz="4" w:space="0" w:color="auto"/>
              <w:left w:val="nil"/>
              <w:bottom w:val="single" w:sz="4" w:space="0" w:color="auto"/>
              <w:right w:val="nil"/>
            </w:tcBorders>
          </w:tcPr>
          <w:p w:rsidR="00C91511" w:rsidRDefault="00C91511" w:rsidP="00C91511">
            <w:pPr>
              <w:pStyle w:val="TableText"/>
              <w:spacing w:before="40" w:after="60"/>
              <w:jc w:val="center"/>
            </w:pPr>
          </w:p>
        </w:tc>
        <w:tc>
          <w:tcPr>
            <w:tcW w:w="3960" w:type="dxa"/>
            <w:gridSpan w:val="2"/>
            <w:tcBorders>
              <w:top w:val="single" w:sz="4" w:space="0" w:color="auto"/>
              <w:left w:val="nil"/>
              <w:bottom w:val="single" w:sz="4" w:space="0" w:color="auto"/>
              <w:right w:val="nil"/>
            </w:tcBorders>
          </w:tcPr>
          <w:p w:rsidR="00C91511" w:rsidRPr="007F5D44" w:rsidRDefault="00C91511" w:rsidP="00C91511">
            <w:pPr>
              <w:pStyle w:val="TableText"/>
              <w:spacing w:before="40" w:after="60"/>
              <w:rPr>
                <w:b/>
                <w:color w:val="1F497D" w:themeColor="text2"/>
              </w:rPr>
            </w:pPr>
            <w:r w:rsidRPr="007F5D44">
              <w:rPr>
                <w:b/>
                <w:color w:val="1F497D" w:themeColor="text2"/>
              </w:rPr>
              <w:t xml:space="preserve">Total Deficient Roadway Segments </w:t>
            </w:r>
          </w:p>
        </w:tc>
        <w:tc>
          <w:tcPr>
            <w:tcW w:w="810" w:type="dxa"/>
            <w:tcBorders>
              <w:top w:val="single" w:sz="4" w:space="0" w:color="auto"/>
              <w:left w:val="nil"/>
              <w:bottom w:val="single" w:sz="4" w:space="0" w:color="auto"/>
              <w:right w:val="nil"/>
            </w:tcBorders>
          </w:tcPr>
          <w:p w:rsidR="00C91511" w:rsidRDefault="00C91511" w:rsidP="00C91511">
            <w:pPr>
              <w:pStyle w:val="TableText"/>
              <w:spacing w:before="40" w:after="60"/>
              <w:jc w:val="center"/>
            </w:pPr>
            <w:r>
              <w:t>1.64</w:t>
            </w:r>
          </w:p>
        </w:tc>
        <w:tc>
          <w:tcPr>
            <w:tcW w:w="1350" w:type="dxa"/>
            <w:tcBorders>
              <w:top w:val="single" w:sz="4" w:space="0" w:color="auto"/>
              <w:left w:val="nil"/>
              <w:bottom w:val="single" w:sz="4" w:space="0" w:color="auto"/>
              <w:right w:val="nil"/>
            </w:tcBorders>
          </w:tcPr>
          <w:p w:rsidR="00C91511" w:rsidRDefault="00C91511" w:rsidP="00C91511">
            <w:pPr>
              <w:pStyle w:val="TableText"/>
              <w:spacing w:before="40" w:after="60"/>
              <w:jc w:val="center"/>
            </w:pPr>
          </w:p>
        </w:tc>
        <w:tc>
          <w:tcPr>
            <w:tcW w:w="1350" w:type="dxa"/>
            <w:tcBorders>
              <w:top w:val="single" w:sz="4" w:space="0" w:color="auto"/>
              <w:left w:val="nil"/>
              <w:bottom w:val="single" w:sz="4" w:space="0" w:color="auto"/>
              <w:right w:val="nil"/>
            </w:tcBorders>
          </w:tcPr>
          <w:p w:rsidR="00C91511" w:rsidRDefault="00C91511" w:rsidP="00C91511">
            <w:pPr>
              <w:pStyle w:val="TableText"/>
              <w:spacing w:before="40" w:after="60"/>
              <w:jc w:val="center"/>
            </w:pPr>
          </w:p>
        </w:tc>
      </w:tr>
      <w:tr w:rsidR="00C91511" w:rsidRPr="005F12EA" w:rsidTr="00C91511">
        <w:trPr>
          <w:trHeight w:val="366"/>
        </w:trPr>
        <w:tc>
          <w:tcPr>
            <w:tcW w:w="8453" w:type="dxa"/>
            <w:gridSpan w:val="6"/>
            <w:tcBorders>
              <w:top w:val="single" w:sz="4" w:space="0" w:color="auto"/>
              <w:left w:val="nil"/>
              <w:bottom w:val="nil"/>
              <w:right w:val="nil"/>
            </w:tcBorders>
          </w:tcPr>
          <w:p w:rsidR="00C91511" w:rsidRPr="005F12EA" w:rsidRDefault="00C91511" w:rsidP="00C91511">
            <w:pPr>
              <w:pStyle w:val="TableText"/>
              <w:spacing w:before="40" w:after="60"/>
              <w:rPr>
                <w:sz w:val="16"/>
              </w:rPr>
            </w:pPr>
            <w:r w:rsidRPr="005F12EA">
              <w:rPr>
                <w:sz w:val="16"/>
              </w:rPr>
              <w:t xml:space="preserve">Source: </w:t>
            </w:r>
            <w:r w:rsidR="00D97A12" w:rsidRPr="008D0E94">
              <w:rPr>
                <w:i/>
              </w:rPr>
              <w:t>Final EIS Whatcom County 2016 Comprehensive Plan and Development Regulations Update and Urban Growth Areas Review</w:t>
            </w:r>
            <w:r w:rsidR="00D97A12">
              <w:t xml:space="preserve"> (November 2015) </w:t>
            </w:r>
            <w:r>
              <w:rPr>
                <w:sz w:val="16"/>
              </w:rPr>
              <w:t>Tables 3.9-1 and 3.9-2</w:t>
            </w:r>
          </w:p>
        </w:tc>
      </w:tr>
    </w:tbl>
    <w:p w:rsidR="00C91511" w:rsidRPr="00B820E0" w:rsidRDefault="00C91511" w:rsidP="00C91511">
      <w:pPr>
        <w:pStyle w:val="Heading3"/>
        <w:rPr>
          <w:sz w:val="22"/>
          <w:szCs w:val="22"/>
        </w:rPr>
      </w:pPr>
    </w:p>
    <w:p w:rsidR="00C91511" w:rsidRDefault="00C91511" w:rsidP="00C91511">
      <w:pPr>
        <w:pStyle w:val="Heading3"/>
      </w:pPr>
      <w:r>
        <w:t xml:space="preserve">Capital Projects </w:t>
      </w:r>
      <w:r w:rsidR="001675D0">
        <w:t>and Funding</w:t>
      </w:r>
    </w:p>
    <w:p w:rsidR="00C91511" w:rsidRDefault="00C91511" w:rsidP="00C91511">
      <w:pPr>
        <w:pStyle w:val="BodyText"/>
      </w:pPr>
      <w:r w:rsidRPr="00D97B55">
        <w:t xml:space="preserve">Table 9-4 identifies the roadway locations that have been identified for improvement over the next 20 years, with planning-level cost estimates. </w:t>
      </w:r>
      <w:r>
        <w:t>Based on this list and a review of current safety and system preservation needs, the County annually prepares and adopts a Six-Year Transportation Improvement Program (TIP), which programs the implementation of needed improvements over the next six years.</w:t>
      </w:r>
      <w:r w:rsidRPr="007F5D44">
        <w:t xml:space="preserve"> </w:t>
      </w:r>
      <w:r w:rsidR="001675D0">
        <w:t xml:space="preserve">Funding sources for transportation improvement projects are identified in </w:t>
      </w:r>
      <w:r w:rsidR="00613DB5">
        <w:t>Chapter 16</w:t>
      </w:r>
      <w:r w:rsidR="001675D0">
        <w:t>.</w:t>
      </w:r>
    </w:p>
    <w:p w:rsidR="00C91511" w:rsidRDefault="00C91511" w:rsidP="00C91511">
      <w:pPr>
        <w:pStyle w:val="BodyText"/>
      </w:pPr>
      <w:r>
        <w:t>Projects to increase capacity on roadway segments that are projected to fall below adopted LOS (listed in Table 9-3) are included in the 20-year plan. If sufficient capacity cannot be achieved through these projects, or funding is insufficient to implement the needed capacity increase, the County can consider adjusting the adopted LOS.</w:t>
      </w:r>
    </w:p>
    <w:p w:rsidR="00C91511" w:rsidRDefault="00C91511" w:rsidP="00C91511">
      <w:pPr>
        <w:pStyle w:val="BodyText"/>
      </w:pPr>
      <w:r>
        <w:t>Only a few new roadway alignments are included among the 20-year projects: Lincoln Road between Shintaffer Road and Blaine Road, Horton Road between Northwest Drive and Aldrich Road, and Slater Road between Northwest Drive and Hannegan. These projects are intended to provide additional east-west connectivity north of Birch Bay and northwest of Bellingham.</w:t>
      </w:r>
    </w:p>
    <w:p w:rsidR="00C91511" w:rsidRDefault="00C91511" w:rsidP="00C91511">
      <w:pPr>
        <w:pStyle w:val="BodyText"/>
        <w:sectPr w:rsidR="00C91511" w:rsidSect="00E92B14">
          <w:footerReference w:type="even" r:id="rId9"/>
          <w:footerReference w:type="default" r:id="rId10"/>
          <w:pgSz w:w="12240" w:h="15840" w:code="1"/>
          <w:pgMar w:top="1440" w:right="1800" w:bottom="1440" w:left="1800" w:header="720" w:footer="720" w:gutter="0"/>
          <w:pgNumType w:start="0"/>
          <w:cols w:space="720"/>
          <w:titlePg/>
          <w:docGrid w:linePitch="360"/>
        </w:sectPr>
      </w:pPr>
    </w:p>
    <w:p w:rsidR="00C91511" w:rsidRDefault="00C91511" w:rsidP="00C91511">
      <w:pPr>
        <w:pStyle w:val="Caption"/>
        <w:rPr>
          <w:rStyle w:val="BodyTextChar"/>
        </w:rPr>
      </w:pPr>
      <w:r w:rsidRPr="00A80D55">
        <w:lastRenderedPageBreak/>
        <w:t>Table 9-4</w:t>
      </w:r>
      <w:r w:rsidR="002C0FF7">
        <w:t>.</w:t>
      </w:r>
      <w:r w:rsidRPr="00A80D55">
        <w:tab/>
        <w:t>Whatcom County Transportation Improvement Projects, 2016-2036</w:t>
      </w:r>
    </w:p>
    <w:tbl>
      <w:tblPr>
        <w:tblW w:w="13698" w:type="dxa"/>
        <w:tblBorders>
          <w:top w:val="single" w:sz="4" w:space="0" w:color="000000"/>
          <w:left w:val="single" w:sz="4" w:space="0" w:color="000000"/>
          <w:bottom w:val="single" w:sz="4" w:space="0" w:color="000000"/>
        </w:tblBorders>
        <w:tblLayout w:type="fixed"/>
        <w:tblLook w:val="04A0" w:firstRow="1" w:lastRow="0" w:firstColumn="1" w:lastColumn="0" w:noHBand="0" w:noVBand="1"/>
      </w:tblPr>
      <w:tblGrid>
        <w:gridCol w:w="828"/>
        <w:gridCol w:w="1246"/>
        <w:gridCol w:w="14"/>
        <w:gridCol w:w="2880"/>
        <w:gridCol w:w="3240"/>
        <w:gridCol w:w="3780"/>
        <w:gridCol w:w="14"/>
        <w:gridCol w:w="1696"/>
      </w:tblGrid>
      <w:tr w:rsidR="00C91511" w:rsidTr="00C91511">
        <w:trPr>
          <w:tblHeader/>
        </w:trPr>
        <w:tc>
          <w:tcPr>
            <w:tcW w:w="828" w:type="dxa"/>
            <w:tcBorders>
              <w:top w:val="single" w:sz="4" w:space="0" w:color="1F497D"/>
              <w:left w:val="nil"/>
              <w:bottom w:val="single" w:sz="4" w:space="0" w:color="1F497D"/>
            </w:tcBorders>
            <w:vAlign w:val="bottom"/>
          </w:tcPr>
          <w:p w:rsidR="00C91511" w:rsidRDefault="00C91511" w:rsidP="00C91511">
            <w:pPr>
              <w:pStyle w:val="TableHeader"/>
            </w:pPr>
            <w:r>
              <w:t>ID</w:t>
            </w:r>
          </w:p>
        </w:tc>
        <w:tc>
          <w:tcPr>
            <w:tcW w:w="1246" w:type="dxa"/>
            <w:tcBorders>
              <w:top w:val="single" w:sz="4" w:space="0" w:color="1F497D"/>
              <w:bottom w:val="single" w:sz="4" w:space="0" w:color="1F497D"/>
            </w:tcBorders>
            <w:vAlign w:val="bottom"/>
          </w:tcPr>
          <w:p w:rsidR="00C91511" w:rsidRDefault="00C91511" w:rsidP="00C91511">
            <w:pPr>
              <w:pStyle w:val="TableHeader"/>
            </w:pPr>
            <w:r>
              <w:t>Portion of project in 6-Year Plan</w:t>
            </w:r>
          </w:p>
        </w:tc>
        <w:tc>
          <w:tcPr>
            <w:tcW w:w="2894" w:type="dxa"/>
            <w:gridSpan w:val="2"/>
            <w:tcBorders>
              <w:top w:val="single" w:sz="4" w:space="0" w:color="1F497D"/>
              <w:bottom w:val="single" w:sz="4" w:space="0" w:color="1F497D"/>
            </w:tcBorders>
            <w:vAlign w:val="bottom"/>
          </w:tcPr>
          <w:p w:rsidR="00C91511" w:rsidRDefault="00C91511" w:rsidP="00C91511">
            <w:pPr>
              <w:pStyle w:val="TableHeader"/>
              <w:jc w:val="left"/>
            </w:pPr>
            <w:r>
              <w:t>Project Name</w:t>
            </w:r>
          </w:p>
        </w:tc>
        <w:tc>
          <w:tcPr>
            <w:tcW w:w="3240" w:type="dxa"/>
            <w:tcBorders>
              <w:top w:val="single" w:sz="4" w:space="0" w:color="1F497D"/>
              <w:bottom w:val="single" w:sz="4" w:space="0" w:color="1F497D"/>
            </w:tcBorders>
            <w:vAlign w:val="bottom"/>
          </w:tcPr>
          <w:p w:rsidR="00C91511" w:rsidRDefault="00C91511" w:rsidP="00C91511">
            <w:pPr>
              <w:pStyle w:val="TableHeader"/>
              <w:jc w:val="left"/>
            </w:pPr>
            <w:r>
              <w:t>Location/ Project Limits</w:t>
            </w:r>
          </w:p>
        </w:tc>
        <w:tc>
          <w:tcPr>
            <w:tcW w:w="3794" w:type="dxa"/>
            <w:gridSpan w:val="2"/>
            <w:tcBorders>
              <w:top w:val="single" w:sz="4" w:space="0" w:color="1F497D"/>
              <w:bottom w:val="single" w:sz="4" w:space="0" w:color="1F497D"/>
            </w:tcBorders>
            <w:vAlign w:val="bottom"/>
          </w:tcPr>
          <w:p w:rsidR="00C91511" w:rsidRDefault="00C91511" w:rsidP="00C91511">
            <w:pPr>
              <w:pStyle w:val="TableHeader"/>
              <w:ind w:right="162"/>
              <w:jc w:val="left"/>
            </w:pPr>
            <w:r>
              <w:t>Proposed Improvement</w:t>
            </w:r>
          </w:p>
        </w:tc>
        <w:tc>
          <w:tcPr>
            <w:tcW w:w="1696" w:type="dxa"/>
            <w:tcBorders>
              <w:top w:val="single" w:sz="4" w:space="0" w:color="1F497D"/>
              <w:bottom w:val="single" w:sz="4" w:space="0" w:color="1F497D"/>
            </w:tcBorders>
            <w:vAlign w:val="bottom"/>
          </w:tcPr>
          <w:p w:rsidR="00C91511" w:rsidRDefault="00C91511" w:rsidP="00C91511">
            <w:pPr>
              <w:pStyle w:val="TableHeader"/>
              <w:jc w:val="left"/>
            </w:pPr>
            <w:r>
              <w:t>Estimated Project Cost</w:t>
            </w:r>
          </w:p>
        </w:tc>
      </w:tr>
      <w:tr w:rsidR="00C91511" w:rsidTr="00C91511">
        <w:tc>
          <w:tcPr>
            <w:tcW w:w="828" w:type="dxa"/>
            <w:tcBorders>
              <w:top w:val="nil"/>
              <w:left w:val="nil"/>
              <w:bottom w:val="nil"/>
            </w:tcBorders>
          </w:tcPr>
          <w:p w:rsidR="00C91511" w:rsidRDefault="00C91511" w:rsidP="00C91511">
            <w:pPr>
              <w:pStyle w:val="TableText"/>
              <w:jc w:val="center"/>
            </w:pPr>
            <w:r>
              <w:t>I-3</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Birch Bay-Lynden Road/ Harborview Road</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Construct intersection improvements to include turn lanes and install traffic signal when warranted</w:t>
            </w:r>
          </w:p>
        </w:tc>
        <w:tc>
          <w:tcPr>
            <w:tcW w:w="1696" w:type="dxa"/>
            <w:tcBorders>
              <w:top w:val="nil"/>
              <w:bottom w:val="nil"/>
            </w:tcBorders>
          </w:tcPr>
          <w:p w:rsidR="00C91511" w:rsidRDefault="00C91511" w:rsidP="00C91511">
            <w:pPr>
              <w:pStyle w:val="TableText"/>
            </w:pPr>
            <w:r>
              <w:t>$3,000,000</w:t>
            </w:r>
          </w:p>
        </w:tc>
      </w:tr>
      <w:tr w:rsidR="00C91511" w:rsidTr="00C91511">
        <w:tc>
          <w:tcPr>
            <w:tcW w:w="828" w:type="dxa"/>
            <w:tcBorders>
              <w:top w:val="nil"/>
              <w:left w:val="nil"/>
              <w:bottom w:val="nil"/>
            </w:tcBorders>
          </w:tcPr>
          <w:p w:rsidR="00C91511" w:rsidRDefault="00C91511" w:rsidP="00C91511">
            <w:pPr>
              <w:pStyle w:val="TableText"/>
              <w:jc w:val="center"/>
            </w:pPr>
            <w:r>
              <w:t>R-4</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Lincoln Road Extension and Improvement</w:t>
            </w:r>
          </w:p>
        </w:tc>
        <w:tc>
          <w:tcPr>
            <w:tcW w:w="3240" w:type="dxa"/>
            <w:tcBorders>
              <w:top w:val="nil"/>
              <w:bottom w:val="nil"/>
            </w:tcBorders>
          </w:tcPr>
          <w:p w:rsidR="00C91511" w:rsidRDefault="00C91511" w:rsidP="00C91511">
            <w:pPr>
              <w:pStyle w:val="TableText"/>
            </w:pPr>
            <w:r>
              <w:t>Harborview Road to Blaine Road (SR 548)</w:t>
            </w:r>
          </w:p>
        </w:tc>
        <w:tc>
          <w:tcPr>
            <w:tcW w:w="3794" w:type="dxa"/>
            <w:gridSpan w:val="2"/>
            <w:tcBorders>
              <w:top w:val="nil"/>
              <w:bottom w:val="nil"/>
            </w:tcBorders>
          </w:tcPr>
          <w:p w:rsidR="00C91511" w:rsidRDefault="00C91511" w:rsidP="00C91511">
            <w:pPr>
              <w:pStyle w:val="TableText"/>
            </w:pPr>
            <w:r>
              <w:t>Reconstruct existing road and construct 2-lane urban arterial to Blaine Road with non-motorized enhancement including construction of roundabouts at intersections with Blaine Road and Harborview Road.</w:t>
            </w:r>
          </w:p>
        </w:tc>
        <w:tc>
          <w:tcPr>
            <w:tcW w:w="1696" w:type="dxa"/>
            <w:tcBorders>
              <w:top w:val="nil"/>
              <w:bottom w:val="nil"/>
            </w:tcBorders>
          </w:tcPr>
          <w:p w:rsidR="00C91511" w:rsidRDefault="00C91511" w:rsidP="00C91511">
            <w:pPr>
              <w:pStyle w:val="TableText"/>
            </w:pPr>
            <w:r>
              <w:t>$4,500,000</w:t>
            </w:r>
          </w:p>
        </w:tc>
      </w:tr>
      <w:tr w:rsidR="00C91511" w:rsidTr="00C91511">
        <w:tc>
          <w:tcPr>
            <w:tcW w:w="828" w:type="dxa"/>
            <w:tcBorders>
              <w:top w:val="nil"/>
              <w:left w:val="nil"/>
              <w:bottom w:val="nil"/>
            </w:tcBorders>
          </w:tcPr>
          <w:p w:rsidR="00C91511" w:rsidRDefault="00C91511" w:rsidP="00C91511">
            <w:pPr>
              <w:pStyle w:val="TableText"/>
              <w:jc w:val="center"/>
            </w:pPr>
            <w:r>
              <w:t>S-15</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Birch Bay-Lynden Road/Blaine Road (SR-548)</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Construct intersection improvements to include roundabout or install turn lanes and traffic signal, when warranted</w:t>
            </w:r>
          </w:p>
        </w:tc>
        <w:tc>
          <w:tcPr>
            <w:tcW w:w="1696" w:type="dxa"/>
            <w:tcBorders>
              <w:top w:val="nil"/>
              <w:bottom w:val="nil"/>
            </w:tcBorders>
          </w:tcPr>
          <w:p w:rsidR="00C91511" w:rsidRDefault="00C91511" w:rsidP="00C91511">
            <w:pPr>
              <w:pStyle w:val="TableText"/>
            </w:pPr>
            <w:r>
              <w:t>$3,000,000</w:t>
            </w:r>
          </w:p>
        </w:tc>
      </w:tr>
      <w:tr w:rsidR="00C91511" w:rsidTr="00C91511">
        <w:tc>
          <w:tcPr>
            <w:tcW w:w="828" w:type="dxa"/>
            <w:tcBorders>
              <w:top w:val="nil"/>
              <w:left w:val="nil"/>
              <w:bottom w:val="nil"/>
            </w:tcBorders>
          </w:tcPr>
          <w:p w:rsidR="00C91511" w:rsidRDefault="00C91511" w:rsidP="00C91511">
            <w:pPr>
              <w:pStyle w:val="TableText"/>
              <w:jc w:val="center"/>
            </w:pPr>
            <w:r>
              <w:t>S-17</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Grandview Road (SR 548)/ Vista Drive</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Construct intersection improvements to include roundabout or install turn lanes and traffic signal when warranted</w:t>
            </w:r>
          </w:p>
        </w:tc>
        <w:tc>
          <w:tcPr>
            <w:tcW w:w="1696" w:type="dxa"/>
            <w:tcBorders>
              <w:top w:val="nil"/>
              <w:bottom w:val="nil"/>
            </w:tcBorders>
          </w:tcPr>
          <w:p w:rsidR="00C91511" w:rsidRDefault="00C91511" w:rsidP="00C91511">
            <w:pPr>
              <w:pStyle w:val="TableText"/>
            </w:pPr>
            <w:r>
              <w:t>$3,000,000</w:t>
            </w:r>
          </w:p>
        </w:tc>
      </w:tr>
      <w:tr w:rsidR="00C91511" w:rsidTr="00C91511">
        <w:tc>
          <w:tcPr>
            <w:tcW w:w="828" w:type="dxa"/>
            <w:tcBorders>
              <w:left w:val="nil"/>
            </w:tcBorders>
          </w:tcPr>
          <w:p w:rsidR="00C91511" w:rsidRDefault="00C91511" w:rsidP="00C91511">
            <w:pPr>
              <w:pStyle w:val="TableText"/>
              <w:jc w:val="center"/>
            </w:pPr>
            <w:r>
              <w:t>EIS-3</w:t>
            </w:r>
          </w:p>
        </w:tc>
        <w:tc>
          <w:tcPr>
            <w:tcW w:w="1246" w:type="dxa"/>
          </w:tcPr>
          <w:p w:rsidR="00C91511" w:rsidRDefault="00C91511" w:rsidP="00C91511">
            <w:pPr>
              <w:pStyle w:val="TableText"/>
              <w:jc w:val="center"/>
            </w:pPr>
          </w:p>
        </w:tc>
        <w:tc>
          <w:tcPr>
            <w:tcW w:w="2894" w:type="dxa"/>
            <w:gridSpan w:val="2"/>
          </w:tcPr>
          <w:p w:rsidR="00C91511" w:rsidRDefault="00C91511" w:rsidP="00C91511">
            <w:pPr>
              <w:pStyle w:val="TableText"/>
            </w:pPr>
            <w:r>
              <w:t>Hannegan Road</w:t>
            </w:r>
          </w:p>
        </w:tc>
        <w:tc>
          <w:tcPr>
            <w:tcW w:w="3240" w:type="dxa"/>
          </w:tcPr>
          <w:p w:rsidR="00C91511" w:rsidRDefault="00C91511" w:rsidP="00C91511">
            <w:pPr>
              <w:pStyle w:val="TableText"/>
            </w:pPr>
            <w:r>
              <w:t>Bellingham City Limits - Van Wyck Road</w:t>
            </w:r>
          </w:p>
        </w:tc>
        <w:tc>
          <w:tcPr>
            <w:tcW w:w="3794" w:type="dxa"/>
            <w:gridSpan w:val="2"/>
          </w:tcPr>
          <w:p w:rsidR="00C91511" w:rsidRDefault="00C91511" w:rsidP="00C91511">
            <w:pPr>
              <w:pStyle w:val="TableText"/>
            </w:pPr>
            <w:r>
              <w:t>Add left-turn lanes at intersections and driveways and widen the road to meet the urban minor arterial standard.</w:t>
            </w:r>
            <w:r>
              <w:rPr>
                <w:vertAlign w:val="superscript"/>
              </w:rPr>
              <w:t>1</w:t>
            </w:r>
          </w:p>
        </w:tc>
        <w:tc>
          <w:tcPr>
            <w:tcW w:w="1696" w:type="dxa"/>
          </w:tcPr>
          <w:p w:rsidR="00C91511" w:rsidRDefault="00C91511" w:rsidP="00C91511">
            <w:pPr>
              <w:pStyle w:val="TableText"/>
            </w:pPr>
            <w:r>
              <w:t>$3,868,000</w:t>
            </w:r>
          </w:p>
        </w:tc>
      </w:tr>
      <w:tr w:rsidR="00C91511" w:rsidTr="00C91511">
        <w:tc>
          <w:tcPr>
            <w:tcW w:w="828" w:type="dxa"/>
            <w:tcBorders>
              <w:left w:val="nil"/>
            </w:tcBorders>
          </w:tcPr>
          <w:p w:rsidR="00C91511" w:rsidRDefault="00C91511" w:rsidP="00C91511">
            <w:pPr>
              <w:pStyle w:val="TableText"/>
              <w:jc w:val="center"/>
            </w:pPr>
            <w:r>
              <w:t>EIS-4</w:t>
            </w:r>
          </w:p>
        </w:tc>
        <w:tc>
          <w:tcPr>
            <w:tcW w:w="1246" w:type="dxa"/>
          </w:tcPr>
          <w:p w:rsidR="00C91511" w:rsidRDefault="00C91511" w:rsidP="00C91511">
            <w:pPr>
              <w:pStyle w:val="TableText"/>
              <w:jc w:val="center"/>
            </w:pPr>
          </w:p>
        </w:tc>
        <w:tc>
          <w:tcPr>
            <w:tcW w:w="2894" w:type="dxa"/>
            <w:gridSpan w:val="2"/>
          </w:tcPr>
          <w:p w:rsidR="00C91511" w:rsidRDefault="00C91511" w:rsidP="00C91511">
            <w:pPr>
              <w:pStyle w:val="TableText"/>
            </w:pPr>
            <w:r>
              <w:t>Hannegan Road</w:t>
            </w:r>
          </w:p>
        </w:tc>
        <w:tc>
          <w:tcPr>
            <w:tcW w:w="3240" w:type="dxa"/>
          </w:tcPr>
          <w:p w:rsidR="00C91511" w:rsidRDefault="00C91511" w:rsidP="00C91511">
            <w:pPr>
              <w:pStyle w:val="TableText"/>
            </w:pPr>
            <w:r>
              <w:t>Van Wyck Road - SR 544</w:t>
            </w:r>
          </w:p>
        </w:tc>
        <w:tc>
          <w:tcPr>
            <w:tcW w:w="3794" w:type="dxa"/>
            <w:gridSpan w:val="2"/>
          </w:tcPr>
          <w:p w:rsidR="00C91511" w:rsidRDefault="00C91511" w:rsidP="00C91511">
            <w:pPr>
              <w:pStyle w:val="TableText"/>
            </w:pPr>
            <w:r>
              <w:t>Add left-turn lanes at intersections and driveways and widen the road meet the rural major collector standard.</w:t>
            </w:r>
            <w:r>
              <w:rPr>
                <w:vertAlign w:val="superscript"/>
              </w:rPr>
              <w:t xml:space="preserve"> 1</w:t>
            </w:r>
          </w:p>
        </w:tc>
        <w:tc>
          <w:tcPr>
            <w:tcW w:w="1696" w:type="dxa"/>
          </w:tcPr>
          <w:p w:rsidR="00C91511" w:rsidRDefault="00C91511" w:rsidP="00C91511">
            <w:pPr>
              <w:pStyle w:val="TableText"/>
            </w:pPr>
            <w:r>
              <w:t>$9,673,000</w:t>
            </w:r>
          </w:p>
        </w:tc>
      </w:tr>
      <w:tr w:rsidR="00C91511" w:rsidTr="00C91511">
        <w:tc>
          <w:tcPr>
            <w:tcW w:w="828" w:type="dxa"/>
            <w:tcBorders>
              <w:top w:val="nil"/>
              <w:left w:val="nil"/>
              <w:bottom w:val="nil"/>
            </w:tcBorders>
          </w:tcPr>
          <w:p w:rsidR="00C91511" w:rsidRDefault="00C91511" w:rsidP="00C91511">
            <w:pPr>
              <w:pStyle w:val="TableText"/>
              <w:jc w:val="center"/>
            </w:pPr>
            <w:r>
              <w:t>WC-7</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Lake Louise Rd.</w:t>
            </w:r>
          </w:p>
        </w:tc>
        <w:tc>
          <w:tcPr>
            <w:tcW w:w="3240" w:type="dxa"/>
            <w:tcBorders>
              <w:top w:val="nil"/>
              <w:bottom w:val="nil"/>
            </w:tcBorders>
          </w:tcPr>
          <w:p w:rsidR="00C91511" w:rsidRDefault="00C91511" w:rsidP="00C91511">
            <w:pPr>
              <w:pStyle w:val="TableText"/>
            </w:pPr>
            <w:r>
              <w:t>Sudden Valley Gate 13 to Austin St.</w:t>
            </w:r>
          </w:p>
        </w:tc>
        <w:tc>
          <w:tcPr>
            <w:tcW w:w="3794" w:type="dxa"/>
            <w:gridSpan w:val="2"/>
            <w:tcBorders>
              <w:top w:val="nil"/>
              <w:bottom w:val="nil"/>
            </w:tcBorders>
          </w:tcPr>
          <w:p w:rsidR="00C91511" w:rsidRDefault="00C91511" w:rsidP="00C91511">
            <w:pPr>
              <w:pStyle w:val="TableText"/>
            </w:pPr>
            <w:r>
              <w:t>Reconstruct to Major Collector standards including non-motorized facilities</w:t>
            </w:r>
          </w:p>
        </w:tc>
        <w:tc>
          <w:tcPr>
            <w:tcW w:w="1696" w:type="dxa"/>
            <w:tcBorders>
              <w:top w:val="nil"/>
              <w:bottom w:val="nil"/>
            </w:tcBorders>
          </w:tcPr>
          <w:p w:rsidR="00C91511" w:rsidRDefault="00C91511" w:rsidP="00C91511">
            <w:pPr>
              <w:pStyle w:val="TableText"/>
            </w:pPr>
            <w:r>
              <w:t>$8,000,000</w:t>
            </w:r>
          </w:p>
        </w:tc>
      </w:tr>
      <w:tr w:rsidR="00C91511" w:rsidTr="00C91511">
        <w:tc>
          <w:tcPr>
            <w:tcW w:w="828" w:type="dxa"/>
            <w:tcBorders>
              <w:top w:val="nil"/>
              <w:left w:val="nil"/>
              <w:bottom w:val="nil"/>
            </w:tcBorders>
          </w:tcPr>
          <w:p w:rsidR="00C91511" w:rsidRDefault="00C91511" w:rsidP="00C91511">
            <w:pPr>
              <w:pStyle w:val="TableText"/>
              <w:jc w:val="center"/>
            </w:pPr>
            <w:r>
              <w:t>WC-8</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Lake Louise Rd.</w:t>
            </w:r>
          </w:p>
        </w:tc>
        <w:tc>
          <w:tcPr>
            <w:tcW w:w="3240" w:type="dxa"/>
            <w:tcBorders>
              <w:top w:val="nil"/>
              <w:bottom w:val="nil"/>
            </w:tcBorders>
          </w:tcPr>
          <w:p w:rsidR="00C91511" w:rsidRDefault="00C91511" w:rsidP="00C91511">
            <w:pPr>
              <w:pStyle w:val="TableText"/>
            </w:pPr>
            <w:r>
              <w:t>Sudden Valley Gate to Whatcom Blvd.</w:t>
            </w:r>
          </w:p>
        </w:tc>
        <w:tc>
          <w:tcPr>
            <w:tcW w:w="3794" w:type="dxa"/>
            <w:gridSpan w:val="2"/>
            <w:tcBorders>
              <w:top w:val="nil"/>
              <w:bottom w:val="nil"/>
            </w:tcBorders>
          </w:tcPr>
          <w:p w:rsidR="00C91511" w:rsidRDefault="00C91511" w:rsidP="00C91511">
            <w:pPr>
              <w:pStyle w:val="TableText"/>
            </w:pPr>
            <w:r>
              <w:t>Reconstruct to Major Collector standards including non-motorized facilities</w:t>
            </w:r>
          </w:p>
        </w:tc>
        <w:tc>
          <w:tcPr>
            <w:tcW w:w="1696" w:type="dxa"/>
            <w:tcBorders>
              <w:top w:val="nil"/>
              <w:bottom w:val="nil"/>
            </w:tcBorders>
          </w:tcPr>
          <w:p w:rsidR="00C91511" w:rsidRDefault="00C91511" w:rsidP="00C91511">
            <w:pPr>
              <w:pStyle w:val="TableText"/>
            </w:pPr>
            <w:r>
              <w:t>$8,000,000</w:t>
            </w:r>
          </w:p>
        </w:tc>
      </w:tr>
      <w:tr w:rsidR="00C91511" w:rsidTr="001675D0">
        <w:tc>
          <w:tcPr>
            <w:tcW w:w="828" w:type="dxa"/>
            <w:tcBorders>
              <w:top w:val="nil"/>
              <w:left w:val="nil"/>
              <w:bottom w:val="nil"/>
            </w:tcBorders>
          </w:tcPr>
          <w:p w:rsidR="00C91511" w:rsidRDefault="00C91511" w:rsidP="00C91511">
            <w:pPr>
              <w:pStyle w:val="TableText"/>
              <w:jc w:val="center"/>
            </w:pPr>
            <w:r>
              <w:t>WC-10</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Marine Drive</w:t>
            </w:r>
          </w:p>
        </w:tc>
        <w:tc>
          <w:tcPr>
            <w:tcW w:w="3240" w:type="dxa"/>
            <w:tcBorders>
              <w:top w:val="nil"/>
              <w:bottom w:val="nil"/>
            </w:tcBorders>
          </w:tcPr>
          <w:p w:rsidR="00C91511" w:rsidRDefault="00C91511" w:rsidP="00C91511">
            <w:pPr>
              <w:pStyle w:val="TableText"/>
            </w:pPr>
            <w:r>
              <w:t>McAlpine Road to BNSFRR Overpass.</w:t>
            </w:r>
          </w:p>
        </w:tc>
        <w:tc>
          <w:tcPr>
            <w:tcW w:w="3794" w:type="dxa"/>
            <w:gridSpan w:val="2"/>
            <w:tcBorders>
              <w:top w:val="nil"/>
              <w:bottom w:val="nil"/>
            </w:tcBorders>
          </w:tcPr>
          <w:p w:rsidR="00C91511" w:rsidRDefault="00C91511" w:rsidP="00C91511">
            <w:pPr>
              <w:pStyle w:val="TableText"/>
            </w:pPr>
            <w:r>
              <w:t>Reconstruct to Urban Minor Arterial standards with non-motorized facilities</w:t>
            </w:r>
          </w:p>
        </w:tc>
        <w:tc>
          <w:tcPr>
            <w:tcW w:w="1696" w:type="dxa"/>
            <w:tcBorders>
              <w:top w:val="nil"/>
              <w:bottom w:val="nil"/>
            </w:tcBorders>
            <w:shd w:val="clear" w:color="auto" w:fill="auto"/>
          </w:tcPr>
          <w:p w:rsidR="00C91511" w:rsidRDefault="00C91511" w:rsidP="00C91511">
            <w:pPr>
              <w:pStyle w:val="TableText"/>
            </w:pPr>
            <w:r w:rsidRPr="001675D0">
              <w:t>$1,400,000</w:t>
            </w:r>
          </w:p>
        </w:tc>
      </w:tr>
      <w:tr w:rsidR="00C91511" w:rsidTr="00C91511">
        <w:tc>
          <w:tcPr>
            <w:tcW w:w="828" w:type="dxa"/>
            <w:tcBorders>
              <w:top w:val="nil"/>
              <w:left w:val="nil"/>
              <w:bottom w:val="nil"/>
            </w:tcBorders>
          </w:tcPr>
          <w:p w:rsidR="00C91511" w:rsidRDefault="00C91511" w:rsidP="00C91511">
            <w:pPr>
              <w:pStyle w:val="TableText"/>
              <w:jc w:val="center"/>
            </w:pPr>
            <w:r>
              <w:t>WC-14</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Slater Rd.</w:t>
            </w:r>
          </w:p>
        </w:tc>
        <w:tc>
          <w:tcPr>
            <w:tcW w:w="3240" w:type="dxa"/>
            <w:tcBorders>
              <w:top w:val="nil"/>
              <w:bottom w:val="nil"/>
            </w:tcBorders>
          </w:tcPr>
          <w:p w:rsidR="00C91511" w:rsidRDefault="00C91511" w:rsidP="00C91511">
            <w:pPr>
              <w:pStyle w:val="TableText"/>
            </w:pPr>
            <w:r>
              <w:t>Hannegan Rd. to Northwest Dr.</w:t>
            </w:r>
          </w:p>
        </w:tc>
        <w:tc>
          <w:tcPr>
            <w:tcW w:w="3794" w:type="dxa"/>
            <w:gridSpan w:val="2"/>
            <w:tcBorders>
              <w:top w:val="nil"/>
              <w:bottom w:val="nil"/>
            </w:tcBorders>
          </w:tcPr>
          <w:p w:rsidR="00C91511" w:rsidRDefault="00C91511" w:rsidP="00C91511">
            <w:pPr>
              <w:pStyle w:val="TableText"/>
            </w:pPr>
            <w:r>
              <w:t>Construct 2-lane extension road to Kelly Rd. at Collector standards with non-motorized facilities</w:t>
            </w:r>
          </w:p>
        </w:tc>
        <w:tc>
          <w:tcPr>
            <w:tcW w:w="1696" w:type="dxa"/>
            <w:tcBorders>
              <w:top w:val="nil"/>
              <w:bottom w:val="nil"/>
            </w:tcBorders>
          </w:tcPr>
          <w:p w:rsidR="00C91511" w:rsidRDefault="00C91511" w:rsidP="00C91511">
            <w:pPr>
              <w:pStyle w:val="TableText"/>
            </w:pPr>
            <w:r>
              <w:t>$4,000,000</w:t>
            </w:r>
          </w:p>
        </w:tc>
      </w:tr>
      <w:tr w:rsidR="00C91511" w:rsidTr="00467588">
        <w:tc>
          <w:tcPr>
            <w:tcW w:w="828" w:type="dxa"/>
            <w:tcBorders>
              <w:top w:val="nil"/>
              <w:left w:val="nil"/>
              <w:bottom w:val="nil"/>
            </w:tcBorders>
            <w:shd w:val="clear" w:color="auto" w:fill="auto"/>
          </w:tcPr>
          <w:p w:rsidR="00C91511" w:rsidRPr="00467588" w:rsidRDefault="00C91511" w:rsidP="00C91511">
            <w:pPr>
              <w:pStyle w:val="TableText"/>
              <w:jc w:val="center"/>
            </w:pPr>
            <w:r w:rsidRPr="00467588">
              <w:lastRenderedPageBreak/>
              <w:t>EIS-10</w:t>
            </w:r>
          </w:p>
        </w:tc>
        <w:tc>
          <w:tcPr>
            <w:tcW w:w="1246" w:type="dxa"/>
            <w:tcBorders>
              <w:top w:val="nil"/>
              <w:bottom w:val="nil"/>
            </w:tcBorders>
            <w:shd w:val="clear" w:color="auto" w:fill="auto"/>
          </w:tcPr>
          <w:p w:rsidR="00C91511" w:rsidRPr="00467588" w:rsidRDefault="00C91511" w:rsidP="00C91511">
            <w:pPr>
              <w:pStyle w:val="TableText"/>
              <w:jc w:val="center"/>
            </w:pPr>
            <w:r w:rsidRPr="00467588">
              <w:t>X</w:t>
            </w:r>
          </w:p>
        </w:tc>
        <w:tc>
          <w:tcPr>
            <w:tcW w:w="2894" w:type="dxa"/>
            <w:gridSpan w:val="2"/>
            <w:tcBorders>
              <w:top w:val="nil"/>
              <w:bottom w:val="nil"/>
            </w:tcBorders>
            <w:shd w:val="clear" w:color="auto" w:fill="auto"/>
          </w:tcPr>
          <w:p w:rsidR="00C91511" w:rsidRPr="00467588" w:rsidRDefault="00C91511" w:rsidP="00C91511">
            <w:pPr>
              <w:pStyle w:val="TableText"/>
            </w:pPr>
            <w:r w:rsidRPr="00467588">
              <w:t>Slater Road/Ferndale Road</w:t>
            </w:r>
          </w:p>
        </w:tc>
        <w:tc>
          <w:tcPr>
            <w:tcW w:w="3240" w:type="dxa"/>
            <w:tcBorders>
              <w:top w:val="nil"/>
              <w:bottom w:val="nil"/>
            </w:tcBorders>
            <w:shd w:val="clear" w:color="auto" w:fill="auto"/>
          </w:tcPr>
          <w:p w:rsidR="00C91511" w:rsidRPr="00467588" w:rsidRDefault="00C91511" w:rsidP="00C91511">
            <w:pPr>
              <w:pStyle w:val="TableText"/>
            </w:pPr>
            <w:r w:rsidRPr="00467588">
              <w:t>Intersection</w:t>
            </w:r>
          </w:p>
        </w:tc>
        <w:tc>
          <w:tcPr>
            <w:tcW w:w="3794" w:type="dxa"/>
            <w:gridSpan w:val="2"/>
            <w:tcBorders>
              <w:top w:val="nil"/>
              <w:bottom w:val="nil"/>
            </w:tcBorders>
            <w:shd w:val="clear" w:color="auto" w:fill="auto"/>
          </w:tcPr>
          <w:p w:rsidR="00C91511" w:rsidRPr="00467588" w:rsidRDefault="00C91511" w:rsidP="00C91511">
            <w:pPr>
              <w:pStyle w:val="TableText"/>
            </w:pPr>
            <w:r w:rsidRPr="00467588">
              <w:t xml:space="preserve">Install traffic signal when warranted </w:t>
            </w:r>
          </w:p>
        </w:tc>
        <w:tc>
          <w:tcPr>
            <w:tcW w:w="1696" w:type="dxa"/>
            <w:tcBorders>
              <w:top w:val="nil"/>
              <w:bottom w:val="nil"/>
            </w:tcBorders>
            <w:shd w:val="clear" w:color="auto" w:fill="auto"/>
          </w:tcPr>
          <w:p w:rsidR="00C91511" w:rsidRDefault="00C91511" w:rsidP="00C91511">
            <w:pPr>
              <w:pStyle w:val="TableText"/>
            </w:pPr>
            <w:r w:rsidRPr="00467588">
              <w:t>$3,000,000</w:t>
            </w:r>
          </w:p>
        </w:tc>
      </w:tr>
      <w:tr w:rsidR="00C91511" w:rsidTr="00C91511">
        <w:tc>
          <w:tcPr>
            <w:tcW w:w="828" w:type="dxa"/>
            <w:tcBorders>
              <w:top w:val="nil"/>
              <w:left w:val="nil"/>
              <w:bottom w:val="nil"/>
            </w:tcBorders>
          </w:tcPr>
          <w:p w:rsidR="00C91511" w:rsidRDefault="00C91511" w:rsidP="00C91511">
            <w:pPr>
              <w:pStyle w:val="TableText"/>
              <w:jc w:val="center"/>
            </w:pPr>
            <w:r>
              <w:t>I-2</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Birch Bay-Lynden Road/ Kickerville Rd.</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Construct intersection improvements to include roundabout or install turn lanes and traffic signal, when warranted</w:t>
            </w:r>
          </w:p>
        </w:tc>
        <w:tc>
          <w:tcPr>
            <w:tcW w:w="1696" w:type="dxa"/>
            <w:tcBorders>
              <w:top w:val="nil"/>
              <w:bottom w:val="nil"/>
            </w:tcBorders>
          </w:tcPr>
          <w:p w:rsidR="00C91511" w:rsidRDefault="00C91511" w:rsidP="00C91511">
            <w:pPr>
              <w:pStyle w:val="TableText"/>
            </w:pPr>
            <w:r>
              <w:t>$3,000,000</w:t>
            </w:r>
          </w:p>
        </w:tc>
      </w:tr>
      <w:tr w:rsidR="00C91511" w:rsidTr="00C91511">
        <w:trPr>
          <w:trHeight w:val="80"/>
        </w:trPr>
        <w:tc>
          <w:tcPr>
            <w:tcW w:w="828" w:type="dxa"/>
            <w:tcBorders>
              <w:top w:val="nil"/>
              <w:left w:val="nil"/>
              <w:bottom w:val="nil"/>
            </w:tcBorders>
          </w:tcPr>
          <w:p w:rsidR="00C91511" w:rsidRDefault="00C91511" w:rsidP="00C91511">
            <w:pPr>
              <w:pStyle w:val="TableText"/>
              <w:jc w:val="center"/>
            </w:pPr>
            <w:r>
              <w:t>I-4</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Birch Bay Drive/ Harborview Rd</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Improve/ redesign the intersection with turn lanes, and install traffic signal, when warranted</w:t>
            </w:r>
          </w:p>
        </w:tc>
        <w:tc>
          <w:tcPr>
            <w:tcW w:w="1696" w:type="dxa"/>
            <w:tcBorders>
              <w:top w:val="nil"/>
              <w:bottom w:val="nil"/>
            </w:tcBorders>
          </w:tcPr>
          <w:p w:rsidR="00C91511" w:rsidRDefault="00C91511" w:rsidP="00C91511">
            <w:pPr>
              <w:pStyle w:val="TableText"/>
            </w:pPr>
            <w:r>
              <w:t>$3,000,000</w:t>
            </w:r>
          </w:p>
        </w:tc>
      </w:tr>
      <w:tr w:rsidR="00C91511" w:rsidTr="00C91511">
        <w:tc>
          <w:tcPr>
            <w:tcW w:w="828" w:type="dxa"/>
            <w:tcBorders>
              <w:top w:val="nil"/>
              <w:left w:val="nil"/>
              <w:bottom w:val="nil"/>
            </w:tcBorders>
          </w:tcPr>
          <w:p w:rsidR="00C91511" w:rsidRDefault="00C91511" w:rsidP="00C91511">
            <w:pPr>
              <w:pStyle w:val="TableText"/>
              <w:jc w:val="center"/>
            </w:pPr>
            <w:r>
              <w:t>R-6</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Harborview Road</w:t>
            </w:r>
          </w:p>
        </w:tc>
        <w:tc>
          <w:tcPr>
            <w:tcW w:w="3240" w:type="dxa"/>
            <w:tcBorders>
              <w:top w:val="nil"/>
              <w:bottom w:val="nil"/>
            </w:tcBorders>
          </w:tcPr>
          <w:p w:rsidR="00C91511" w:rsidRDefault="00C91511" w:rsidP="00C91511">
            <w:pPr>
              <w:pStyle w:val="TableText"/>
            </w:pPr>
            <w:r>
              <w:t>Birch Bay Drive to Birch Bay-Lynden Road</w:t>
            </w:r>
          </w:p>
        </w:tc>
        <w:tc>
          <w:tcPr>
            <w:tcW w:w="3794" w:type="dxa"/>
            <w:gridSpan w:val="2"/>
            <w:tcBorders>
              <w:top w:val="nil"/>
              <w:bottom w:val="nil"/>
            </w:tcBorders>
          </w:tcPr>
          <w:p w:rsidR="00C91511" w:rsidRDefault="00C91511" w:rsidP="00C91511">
            <w:pPr>
              <w:pStyle w:val="TableText"/>
            </w:pPr>
            <w:r>
              <w:t>Improve roadway to urban principal arterial standards including non-motorized facilities</w:t>
            </w:r>
          </w:p>
        </w:tc>
        <w:tc>
          <w:tcPr>
            <w:tcW w:w="1696" w:type="dxa"/>
            <w:tcBorders>
              <w:top w:val="nil"/>
              <w:bottom w:val="nil"/>
            </w:tcBorders>
          </w:tcPr>
          <w:p w:rsidR="00C91511" w:rsidRDefault="00C91511" w:rsidP="00C91511">
            <w:pPr>
              <w:pStyle w:val="TableText"/>
            </w:pPr>
            <w:r>
              <w:t>$200,000</w:t>
            </w:r>
          </w:p>
        </w:tc>
      </w:tr>
      <w:tr w:rsidR="00C91511" w:rsidTr="00C91511">
        <w:tc>
          <w:tcPr>
            <w:tcW w:w="828" w:type="dxa"/>
            <w:tcBorders>
              <w:top w:val="nil"/>
              <w:left w:val="nil"/>
              <w:bottom w:val="nil"/>
            </w:tcBorders>
          </w:tcPr>
          <w:p w:rsidR="00C91511" w:rsidRDefault="00C91511" w:rsidP="00C91511">
            <w:pPr>
              <w:pStyle w:val="TableText"/>
              <w:jc w:val="center"/>
            </w:pPr>
            <w:r>
              <w:t>R-7</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Harborview Road</w:t>
            </w:r>
          </w:p>
        </w:tc>
        <w:tc>
          <w:tcPr>
            <w:tcW w:w="3240" w:type="dxa"/>
            <w:tcBorders>
              <w:top w:val="nil"/>
              <w:bottom w:val="nil"/>
            </w:tcBorders>
          </w:tcPr>
          <w:p w:rsidR="00C91511" w:rsidRDefault="00C91511" w:rsidP="00C91511">
            <w:pPr>
              <w:pStyle w:val="TableText"/>
            </w:pPr>
            <w:r>
              <w:t>Birch Bay-Lynden Road to Drayton Harbor Rd</w:t>
            </w:r>
          </w:p>
        </w:tc>
        <w:tc>
          <w:tcPr>
            <w:tcW w:w="3794" w:type="dxa"/>
            <w:gridSpan w:val="2"/>
            <w:tcBorders>
              <w:top w:val="nil"/>
              <w:bottom w:val="nil"/>
            </w:tcBorders>
          </w:tcPr>
          <w:p w:rsidR="00C91511" w:rsidRDefault="00C91511" w:rsidP="00C91511">
            <w:pPr>
              <w:pStyle w:val="TableText"/>
            </w:pPr>
            <w:r>
              <w:t>Improve roadway to major collector standards including non-motorized facilities</w:t>
            </w:r>
          </w:p>
        </w:tc>
        <w:tc>
          <w:tcPr>
            <w:tcW w:w="1696" w:type="dxa"/>
            <w:tcBorders>
              <w:top w:val="nil"/>
              <w:bottom w:val="nil"/>
            </w:tcBorders>
          </w:tcPr>
          <w:p w:rsidR="00C91511" w:rsidRDefault="00C91511" w:rsidP="00C91511">
            <w:pPr>
              <w:pStyle w:val="TableText"/>
            </w:pPr>
            <w:r>
              <w:t>$200,000</w:t>
            </w:r>
          </w:p>
        </w:tc>
      </w:tr>
      <w:tr w:rsidR="00C91511" w:rsidTr="00C91511">
        <w:tc>
          <w:tcPr>
            <w:tcW w:w="828" w:type="dxa"/>
            <w:tcBorders>
              <w:top w:val="nil"/>
              <w:left w:val="nil"/>
              <w:bottom w:val="nil"/>
            </w:tcBorders>
          </w:tcPr>
          <w:p w:rsidR="00C91511" w:rsidRDefault="00C91511" w:rsidP="00C91511">
            <w:pPr>
              <w:pStyle w:val="TableText"/>
              <w:jc w:val="center"/>
            </w:pPr>
            <w:r>
              <w:t>M-1</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Birch Bay Drive</w:t>
            </w:r>
          </w:p>
        </w:tc>
        <w:tc>
          <w:tcPr>
            <w:tcW w:w="3240" w:type="dxa"/>
            <w:tcBorders>
              <w:top w:val="nil"/>
              <w:bottom w:val="nil"/>
            </w:tcBorders>
          </w:tcPr>
          <w:p w:rsidR="00C91511" w:rsidRDefault="00C91511" w:rsidP="00C91511">
            <w:pPr>
              <w:pStyle w:val="TableText"/>
            </w:pPr>
            <w:r>
              <w:t>Alderson Road to Shintaffer Road</w:t>
            </w:r>
          </w:p>
        </w:tc>
        <w:tc>
          <w:tcPr>
            <w:tcW w:w="3794" w:type="dxa"/>
            <w:gridSpan w:val="2"/>
            <w:tcBorders>
              <w:top w:val="nil"/>
              <w:bottom w:val="nil"/>
            </w:tcBorders>
          </w:tcPr>
          <w:p w:rsidR="00C91511" w:rsidRDefault="00C91511" w:rsidP="00C91511">
            <w:pPr>
              <w:pStyle w:val="TableText"/>
            </w:pPr>
            <w:r>
              <w:t>Improve roadway to urban minor arterial standards including non-motorized facilities</w:t>
            </w:r>
          </w:p>
        </w:tc>
        <w:tc>
          <w:tcPr>
            <w:tcW w:w="1696" w:type="dxa"/>
            <w:tcBorders>
              <w:top w:val="nil"/>
              <w:bottom w:val="nil"/>
            </w:tcBorders>
          </w:tcPr>
          <w:p w:rsidR="00C91511" w:rsidRDefault="00C91511" w:rsidP="00C91511">
            <w:pPr>
              <w:pStyle w:val="TableText"/>
            </w:pPr>
            <w:r>
              <w:t>$1,000,000</w:t>
            </w:r>
          </w:p>
        </w:tc>
      </w:tr>
      <w:tr w:rsidR="00C91511" w:rsidTr="00C91511">
        <w:tc>
          <w:tcPr>
            <w:tcW w:w="828" w:type="dxa"/>
            <w:tcBorders>
              <w:top w:val="nil"/>
              <w:left w:val="nil"/>
              <w:bottom w:val="nil"/>
            </w:tcBorders>
          </w:tcPr>
          <w:p w:rsidR="00C91511" w:rsidRDefault="00C91511" w:rsidP="00C91511">
            <w:pPr>
              <w:pStyle w:val="TableText"/>
              <w:jc w:val="center"/>
            </w:pPr>
            <w:r>
              <w:t>M-2</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Birch Bay Drive</w:t>
            </w:r>
          </w:p>
        </w:tc>
        <w:tc>
          <w:tcPr>
            <w:tcW w:w="3240" w:type="dxa"/>
            <w:tcBorders>
              <w:top w:val="nil"/>
              <w:bottom w:val="nil"/>
            </w:tcBorders>
          </w:tcPr>
          <w:p w:rsidR="00C91511" w:rsidRDefault="00C91511" w:rsidP="00C91511">
            <w:pPr>
              <w:pStyle w:val="TableText"/>
            </w:pPr>
            <w:r>
              <w:t>Alderson Road to Point Whitehorn Road</w:t>
            </w:r>
          </w:p>
        </w:tc>
        <w:tc>
          <w:tcPr>
            <w:tcW w:w="3794" w:type="dxa"/>
            <w:gridSpan w:val="2"/>
            <w:tcBorders>
              <w:top w:val="nil"/>
              <w:bottom w:val="nil"/>
            </w:tcBorders>
          </w:tcPr>
          <w:p w:rsidR="00C91511" w:rsidRDefault="00C91511" w:rsidP="00C91511">
            <w:pPr>
              <w:pStyle w:val="TableText"/>
            </w:pPr>
            <w:r>
              <w:t>Improve to urban minor arterial standards including non-motorized facilities</w:t>
            </w:r>
          </w:p>
        </w:tc>
        <w:tc>
          <w:tcPr>
            <w:tcW w:w="1696" w:type="dxa"/>
            <w:tcBorders>
              <w:top w:val="nil"/>
              <w:bottom w:val="nil"/>
            </w:tcBorders>
          </w:tcPr>
          <w:p w:rsidR="00C91511" w:rsidRDefault="00C91511" w:rsidP="00C91511">
            <w:pPr>
              <w:pStyle w:val="TableText"/>
            </w:pPr>
            <w:r>
              <w:t>$1,800,000</w:t>
            </w:r>
          </w:p>
        </w:tc>
      </w:tr>
      <w:tr w:rsidR="00C91511" w:rsidTr="00C91511">
        <w:tc>
          <w:tcPr>
            <w:tcW w:w="828" w:type="dxa"/>
            <w:tcBorders>
              <w:top w:val="nil"/>
              <w:left w:val="nil"/>
              <w:bottom w:val="nil"/>
            </w:tcBorders>
          </w:tcPr>
          <w:p w:rsidR="00C91511" w:rsidRDefault="00C91511" w:rsidP="00C91511">
            <w:pPr>
              <w:pStyle w:val="TableText"/>
              <w:jc w:val="center"/>
            </w:pPr>
            <w:r>
              <w:t>M-8</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Portal Way</w:t>
            </w:r>
          </w:p>
        </w:tc>
        <w:tc>
          <w:tcPr>
            <w:tcW w:w="3240" w:type="dxa"/>
            <w:tcBorders>
              <w:top w:val="nil"/>
              <w:bottom w:val="nil"/>
            </w:tcBorders>
          </w:tcPr>
          <w:p w:rsidR="00C91511" w:rsidRDefault="00C91511" w:rsidP="00C91511">
            <w:pPr>
              <w:pStyle w:val="TableText"/>
            </w:pPr>
            <w:r>
              <w:t>Birch Bay – Lynden Road to Loomis Trail Road</w:t>
            </w:r>
          </w:p>
        </w:tc>
        <w:tc>
          <w:tcPr>
            <w:tcW w:w="3794" w:type="dxa"/>
            <w:gridSpan w:val="2"/>
            <w:tcBorders>
              <w:top w:val="nil"/>
              <w:bottom w:val="nil"/>
            </w:tcBorders>
          </w:tcPr>
          <w:p w:rsidR="00C91511" w:rsidRDefault="00C91511" w:rsidP="00C91511">
            <w:pPr>
              <w:pStyle w:val="TableText"/>
            </w:pPr>
            <w:r>
              <w:t>Reconstruct to rural collector standards including paved shoulders for non-motorized travel.</w:t>
            </w:r>
          </w:p>
        </w:tc>
        <w:tc>
          <w:tcPr>
            <w:tcW w:w="1696" w:type="dxa"/>
            <w:tcBorders>
              <w:top w:val="nil"/>
              <w:bottom w:val="nil"/>
            </w:tcBorders>
          </w:tcPr>
          <w:p w:rsidR="00C91511" w:rsidRDefault="00C91511" w:rsidP="00C91511">
            <w:pPr>
              <w:pStyle w:val="TableText"/>
            </w:pPr>
            <w:r>
              <w:t>$1,200,000</w:t>
            </w:r>
          </w:p>
        </w:tc>
      </w:tr>
      <w:tr w:rsidR="00C91511" w:rsidTr="00C91511">
        <w:tc>
          <w:tcPr>
            <w:tcW w:w="828" w:type="dxa"/>
            <w:tcBorders>
              <w:top w:val="nil"/>
              <w:left w:val="nil"/>
              <w:bottom w:val="nil"/>
            </w:tcBorders>
          </w:tcPr>
          <w:p w:rsidR="00C91511" w:rsidRDefault="00C91511" w:rsidP="00C91511">
            <w:pPr>
              <w:pStyle w:val="TableText"/>
              <w:jc w:val="center"/>
            </w:pPr>
            <w:r>
              <w:t>M-13</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Jackson Road</w:t>
            </w:r>
          </w:p>
        </w:tc>
        <w:tc>
          <w:tcPr>
            <w:tcW w:w="3240" w:type="dxa"/>
            <w:tcBorders>
              <w:top w:val="nil"/>
              <w:bottom w:val="nil"/>
            </w:tcBorders>
          </w:tcPr>
          <w:p w:rsidR="00C91511" w:rsidRDefault="00C91511" w:rsidP="00C91511">
            <w:pPr>
              <w:pStyle w:val="TableText"/>
            </w:pPr>
            <w:r>
              <w:t>Birch Bay Drive to Grandview Road</w:t>
            </w:r>
          </w:p>
        </w:tc>
        <w:tc>
          <w:tcPr>
            <w:tcW w:w="3794" w:type="dxa"/>
            <w:gridSpan w:val="2"/>
            <w:tcBorders>
              <w:top w:val="nil"/>
              <w:bottom w:val="nil"/>
            </w:tcBorders>
          </w:tcPr>
          <w:p w:rsidR="00C91511" w:rsidRDefault="00C91511" w:rsidP="00C91511">
            <w:pPr>
              <w:pStyle w:val="TableText"/>
            </w:pPr>
            <w:r>
              <w:t>Reconstruct to rural collector standards including paved shoulders for non-motorized facilities</w:t>
            </w:r>
          </w:p>
        </w:tc>
        <w:tc>
          <w:tcPr>
            <w:tcW w:w="1696" w:type="dxa"/>
            <w:tcBorders>
              <w:top w:val="nil"/>
              <w:bottom w:val="nil"/>
            </w:tcBorders>
          </w:tcPr>
          <w:p w:rsidR="00C91511" w:rsidRDefault="00C91511" w:rsidP="00C91511">
            <w:pPr>
              <w:pStyle w:val="TableText"/>
            </w:pPr>
            <w:r>
              <w:t>$1,200,000</w:t>
            </w:r>
          </w:p>
        </w:tc>
      </w:tr>
      <w:tr w:rsidR="00C91511" w:rsidTr="00C91511">
        <w:tc>
          <w:tcPr>
            <w:tcW w:w="828" w:type="dxa"/>
            <w:tcBorders>
              <w:top w:val="nil"/>
              <w:left w:val="nil"/>
              <w:bottom w:val="nil"/>
            </w:tcBorders>
          </w:tcPr>
          <w:p w:rsidR="00C91511" w:rsidRDefault="00C91511" w:rsidP="00C91511">
            <w:pPr>
              <w:pStyle w:val="TableText"/>
              <w:jc w:val="center"/>
            </w:pPr>
            <w:r>
              <w:t>S-5</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Blaine Road (SR 548)/ Drayton Harbor Road</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Improve / redesign the intersection with turn lanes and install traffic signal when warranted</w:t>
            </w:r>
          </w:p>
        </w:tc>
        <w:tc>
          <w:tcPr>
            <w:tcW w:w="1696" w:type="dxa"/>
            <w:tcBorders>
              <w:top w:val="nil"/>
              <w:bottom w:val="nil"/>
            </w:tcBorders>
          </w:tcPr>
          <w:p w:rsidR="00C91511" w:rsidRDefault="00C91511" w:rsidP="00C91511">
            <w:pPr>
              <w:pStyle w:val="TableText"/>
            </w:pPr>
            <w:r>
              <w:t>$2,000,000</w:t>
            </w:r>
          </w:p>
        </w:tc>
      </w:tr>
      <w:tr w:rsidR="00C91511" w:rsidTr="00C91511">
        <w:tc>
          <w:tcPr>
            <w:tcW w:w="828" w:type="dxa"/>
            <w:tcBorders>
              <w:top w:val="nil"/>
              <w:left w:val="nil"/>
              <w:bottom w:val="nil"/>
            </w:tcBorders>
          </w:tcPr>
          <w:p w:rsidR="00C91511" w:rsidRDefault="00C91511" w:rsidP="00C91511">
            <w:pPr>
              <w:pStyle w:val="TableText"/>
              <w:jc w:val="center"/>
            </w:pPr>
            <w:r>
              <w:t>S-6</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Blaine Road (SR 548) / Loomis Trail Road</w:t>
            </w:r>
          </w:p>
        </w:tc>
        <w:tc>
          <w:tcPr>
            <w:tcW w:w="3240" w:type="dxa"/>
            <w:tcBorders>
              <w:top w:val="nil"/>
              <w:bottom w:val="nil"/>
            </w:tcBorders>
          </w:tcPr>
          <w:p w:rsidR="00C91511" w:rsidRDefault="00C91511" w:rsidP="00C91511">
            <w:pPr>
              <w:pStyle w:val="TableText"/>
            </w:pPr>
            <w:r>
              <w:t>Intersection</w:t>
            </w:r>
          </w:p>
        </w:tc>
        <w:tc>
          <w:tcPr>
            <w:tcW w:w="3794" w:type="dxa"/>
            <w:gridSpan w:val="2"/>
            <w:tcBorders>
              <w:top w:val="nil"/>
              <w:bottom w:val="nil"/>
            </w:tcBorders>
          </w:tcPr>
          <w:p w:rsidR="00C91511" w:rsidRDefault="00C91511" w:rsidP="00C91511">
            <w:pPr>
              <w:pStyle w:val="TableText"/>
            </w:pPr>
            <w:r>
              <w:t>Improve/redesign the intersection with turn lanes and install traffic signal when warranted</w:t>
            </w:r>
          </w:p>
        </w:tc>
        <w:tc>
          <w:tcPr>
            <w:tcW w:w="1696" w:type="dxa"/>
            <w:tcBorders>
              <w:top w:val="nil"/>
              <w:bottom w:val="nil"/>
            </w:tcBorders>
          </w:tcPr>
          <w:p w:rsidR="00C91511" w:rsidRDefault="00C91511" w:rsidP="00C91511">
            <w:pPr>
              <w:pStyle w:val="TableText"/>
            </w:pPr>
            <w:r>
              <w:t>$2,000,000</w:t>
            </w:r>
          </w:p>
        </w:tc>
      </w:tr>
      <w:tr w:rsidR="00C91511" w:rsidTr="00C91511">
        <w:tc>
          <w:tcPr>
            <w:tcW w:w="828" w:type="dxa"/>
            <w:tcBorders>
              <w:top w:val="nil"/>
              <w:left w:val="nil"/>
              <w:bottom w:val="nil"/>
            </w:tcBorders>
          </w:tcPr>
          <w:p w:rsidR="00C91511" w:rsidRDefault="00C91511" w:rsidP="00C91511">
            <w:pPr>
              <w:pStyle w:val="TableText"/>
              <w:jc w:val="center"/>
            </w:pPr>
            <w:r>
              <w:t>WC-11</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North Shore Rd.</w:t>
            </w:r>
          </w:p>
        </w:tc>
        <w:tc>
          <w:tcPr>
            <w:tcW w:w="3240" w:type="dxa"/>
            <w:tcBorders>
              <w:top w:val="nil"/>
              <w:bottom w:val="nil"/>
            </w:tcBorders>
          </w:tcPr>
          <w:p w:rsidR="00C91511" w:rsidRDefault="00C91511" w:rsidP="00C91511">
            <w:pPr>
              <w:pStyle w:val="TableText"/>
            </w:pPr>
            <w:r>
              <w:t>Bellingham City limits to Y Rd.</w:t>
            </w:r>
          </w:p>
        </w:tc>
        <w:tc>
          <w:tcPr>
            <w:tcW w:w="3794" w:type="dxa"/>
            <w:gridSpan w:val="2"/>
            <w:tcBorders>
              <w:top w:val="nil"/>
              <w:bottom w:val="nil"/>
            </w:tcBorders>
          </w:tcPr>
          <w:p w:rsidR="00C91511" w:rsidRDefault="00C91511" w:rsidP="00C91511">
            <w:pPr>
              <w:pStyle w:val="TableText"/>
            </w:pPr>
            <w:r>
              <w:t>Reconstruct to Minor Arterial standards with non-motorized facilities enhancement (bike lane), clear zones</w:t>
            </w:r>
          </w:p>
        </w:tc>
        <w:tc>
          <w:tcPr>
            <w:tcW w:w="1696" w:type="dxa"/>
            <w:tcBorders>
              <w:top w:val="nil"/>
              <w:bottom w:val="nil"/>
            </w:tcBorders>
          </w:tcPr>
          <w:p w:rsidR="00C91511" w:rsidRDefault="00C91511" w:rsidP="00C91511">
            <w:pPr>
              <w:pStyle w:val="TableText"/>
            </w:pPr>
            <w:r>
              <w:t>$8,000,000</w:t>
            </w:r>
          </w:p>
        </w:tc>
      </w:tr>
      <w:tr w:rsidR="00C91511" w:rsidTr="00C91511">
        <w:tc>
          <w:tcPr>
            <w:tcW w:w="828" w:type="dxa"/>
            <w:tcBorders>
              <w:top w:val="nil"/>
              <w:left w:val="nil"/>
              <w:bottom w:val="nil"/>
            </w:tcBorders>
          </w:tcPr>
          <w:p w:rsidR="00C91511" w:rsidRDefault="00C91511" w:rsidP="00C91511">
            <w:pPr>
              <w:pStyle w:val="TableText"/>
              <w:jc w:val="center"/>
            </w:pPr>
            <w:r>
              <w:t>WC-12</w:t>
            </w:r>
          </w:p>
        </w:tc>
        <w:tc>
          <w:tcPr>
            <w:tcW w:w="1246" w:type="dxa"/>
            <w:tcBorders>
              <w:top w:val="nil"/>
              <w:bottom w:val="nil"/>
            </w:tcBorders>
          </w:tcPr>
          <w:p w:rsidR="00C91511" w:rsidRDefault="00C91511" w:rsidP="00C91511">
            <w:pPr>
              <w:pStyle w:val="TableText"/>
              <w:jc w:val="center"/>
            </w:pPr>
            <w:r>
              <w:t>X</w:t>
            </w:r>
          </w:p>
        </w:tc>
        <w:tc>
          <w:tcPr>
            <w:tcW w:w="2894" w:type="dxa"/>
            <w:gridSpan w:val="2"/>
            <w:tcBorders>
              <w:top w:val="nil"/>
              <w:bottom w:val="nil"/>
            </w:tcBorders>
          </w:tcPr>
          <w:p w:rsidR="00C91511" w:rsidRDefault="00C91511" w:rsidP="00C91511">
            <w:pPr>
              <w:pStyle w:val="TableText"/>
            </w:pPr>
            <w:r>
              <w:t>Siper Rd.</w:t>
            </w:r>
          </w:p>
        </w:tc>
        <w:tc>
          <w:tcPr>
            <w:tcW w:w="3240" w:type="dxa"/>
            <w:tcBorders>
              <w:top w:val="nil"/>
              <w:bottom w:val="nil"/>
            </w:tcBorders>
          </w:tcPr>
          <w:p w:rsidR="00C91511" w:rsidRDefault="00C91511" w:rsidP="00C91511">
            <w:pPr>
              <w:pStyle w:val="TableText"/>
            </w:pPr>
            <w:r>
              <w:t>SR 9 (Nooksack Rd.) to Hopewell Rd.</w:t>
            </w:r>
          </w:p>
        </w:tc>
        <w:tc>
          <w:tcPr>
            <w:tcW w:w="3794" w:type="dxa"/>
            <w:gridSpan w:val="2"/>
            <w:tcBorders>
              <w:top w:val="nil"/>
              <w:bottom w:val="nil"/>
            </w:tcBorders>
          </w:tcPr>
          <w:p w:rsidR="00C91511" w:rsidRDefault="00C91511" w:rsidP="00C91511">
            <w:pPr>
              <w:pStyle w:val="TableText"/>
            </w:pPr>
            <w:r>
              <w:t>Reconstruct to Collector Standards including drainage system and non-motorized facilities</w:t>
            </w:r>
          </w:p>
        </w:tc>
        <w:tc>
          <w:tcPr>
            <w:tcW w:w="1696" w:type="dxa"/>
            <w:tcBorders>
              <w:top w:val="nil"/>
              <w:bottom w:val="nil"/>
            </w:tcBorders>
          </w:tcPr>
          <w:p w:rsidR="00C91511" w:rsidRDefault="00C91511" w:rsidP="00C91511">
            <w:pPr>
              <w:pStyle w:val="TableText"/>
            </w:pPr>
            <w:r>
              <w:t>$5,000,000</w:t>
            </w:r>
          </w:p>
        </w:tc>
      </w:tr>
      <w:tr w:rsidR="00C91511" w:rsidTr="00C91511">
        <w:tc>
          <w:tcPr>
            <w:tcW w:w="828" w:type="dxa"/>
            <w:tcBorders>
              <w:top w:val="nil"/>
              <w:left w:val="nil"/>
              <w:bottom w:val="nil"/>
            </w:tcBorders>
          </w:tcPr>
          <w:p w:rsidR="00C91511" w:rsidRDefault="00C91511" w:rsidP="00C91511">
            <w:pPr>
              <w:pStyle w:val="TableText"/>
              <w:jc w:val="center"/>
            </w:pPr>
            <w:r>
              <w:lastRenderedPageBreak/>
              <w:t>WC-13</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Slater Rd. (along Kelly)</w:t>
            </w:r>
          </w:p>
        </w:tc>
        <w:tc>
          <w:tcPr>
            <w:tcW w:w="3240" w:type="dxa"/>
            <w:tcBorders>
              <w:top w:val="nil"/>
              <w:bottom w:val="nil"/>
            </w:tcBorders>
          </w:tcPr>
          <w:p w:rsidR="00C91511" w:rsidRDefault="00C91511" w:rsidP="00C91511">
            <w:pPr>
              <w:pStyle w:val="TableText"/>
            </w:pPr>
            <w:r>
              <w:t>Hannegan to SR 542 (Mt. Baker Highway)</w:t>
            </w:r>
          </w:p>
        </w:tc>
        <w:tc>
          <w:tcPr>
            <w:tcW w:w="3794" w:type="dxa"/>
            <w:gridSpan w:val="2"/>
            <w:tcBorders>
              <w:top w:val="nil"/>
              <w:bottom w:val="nil"/>
            </w:tcBorders>
          </w:tcPr>
          <w:p w:rsidR="00C91511" w:rsidRDefault="00C91511" w:rsidP="00C91511">
            <w:pPr>
              <w:pStyle w:val="TableText"/>
            </w:pPr>
            <w:r>
              <w:t>Upgrade from Local to Collector class and reconstruct at Collector standards including drainage system and nonmotorized facilities</w:t>
            </w:r>
          </w:p>
        </w:tc>
        <w:tc>
          <w:tcPr>
            <w:tcW w:w="1696" w:type="dxa"/>
            <w:tcBorders>
              <w:top w:val="nil"/>
              <w:bottom w:val="nil"/>
            </w:tcBorders>
          </w:tcPr>
          <w:p w:rsidR="00C91511" w:rsidRDefault="00C91511" w:rsidP="00C91511">
            <w:pPr>
              <w:pStyle w:val="TableText"/>
            </w:pPr>
            <w:r>
              <w:t>$10,000,000</w:t>
            </w:r>
          </w:p>
        </w:tc>
      </w:tr>
      <w:tr w:rsidR="00C91511" w:rsidTr="00C91511">
        <w:tc>
          <w:tcPr>
            <w:tcW w:w="828" w:type="dxa"/>
            <w:tcBorders>
              <w:top w:val="nil"/>
              <w:left w:val="nil"/>
              <w:bottom w:val="nil"/>
            </w:tcBorders>
          </w:tcPr>
          <w:p w:rsidR="00C91511" w:rsidRDefault="00C91511" w:rsidP="00C91511">
            <w:pPr>
              <w:pStyle w:val="TableText"/>
              <w:jc w:val="center"/>
            </w:pPr>
            <w:r>
              <w:t>M-6</w:t>
            </w:r>
          </w:p>
        </w:tc>
        <w:tc>
          <w:tcPr>
            <w:tcW w:w="1246" w:type="dxa"/>
            <w:tcBorders>
              <w:top w:val="nil"/>
              <w:bottom w:val="nil"/>
            </w:tcBorders>
          </w:tcPr>
          <w:p w:rsidR="00C91511" w:rsidRDefault="00C91511" w:rsidP="00C91511">
            <w:pPr>
              <w:pStyle w:val="TableText"/>
              <w:jc w:val="center"/>
            </w:pPr>
          </w:p>
        </w:tc>
        <w:tc>
          <w:tcPr>
            <w:tcW w:w="2894" w:type="dxa"/>
            <w:gridSpan w:val="2"/>
            <w:tcBorders>
              <w:top w:val="nil"/>
              <w:bottom w:val="nil"/>
            </w:tcBorders>
          </w:tcPr>
          <w:p w:rsidR="00C91511" w:rsidRDefault="00C91511" w:rsidP="00C91511">
            <w:pPr>
              <w:pStyle w:val="TableText"/>
            </w:pPr>
            <w:r>
              <w:t>Drayton Harbor Road</w:t>
            </w:r>
          </w:p>
        </w:tc>
        <w:tc>
          <w:tcPr>
            <w:tcW w:w="3240" w:type="dxa"/>
            <w:tcBorders>
              <w:top w:val="nil"/>
              <w:bottom w:val="nil"/>
            </w:tcBorders>
          </w:tcPr>
          <w:p w:rsidR="00C91511" w:rsidRDefault="00C91511" w:rsidP="00C91511">
            <w:pPr>
              <w:pStyle w:val="TableText"/>
            </w:pPr>
            <w:r>
              <w:t>Harborview Road to Blaine Road</w:t>
            </w:r>
          </w:p>
        </w:tc>
        <w:tc>
          <w:tcPr>
            <w:tcW w:w="3794" w:type="dxa"/>
            <w:gridSpan w:val="2"/>
            <w:tcBorders>
              <w:top w:val="nil"/>
              <w:bottom w:val="nil"/>
            </w:tcBorders>
          </w:tcPr>
          <w:p w:rsidR="00C91511" w:rsidRDefault="00C91511" w:rsidP="00C91511">
            <w:pPr>
              <w:pStyle w:val="TableText"/>
            </w:pPr>
            <w:r>
              <w:t>Improve to rural collector standards with shoulders for non-motorized travel.</w:t>
            </w:r>
          </w:p>
        </w:tc>
        <w:tc>
          <w:tcPr>
            <w:tcW w:w="1696" w:type="dxa"/>
            <w:tcBorders>
              <w:top w:val="nil"/>
              <w:bottom w:val="nil"/>
            </w:tcBorders>
          </w:tcPr>
          <w:p w:rsidR="00C91511" w:rsidRDefault="00C91511" w:rsidP="00C91511">
            <w:pPr>
              <w:pStyle w:val="TableText"/>
            </w:pPr>
            <w:r>
              <w:t>$1,800,000</w:t>
            </w:r>
          </w:p>
        </w:tc>
      </w:tr>
      <w:tr w:rsidR="00C91511" w:rsidTr="00C91511">
        <w:trPr>
          <w:trHeight w:val="540"/>
        </w:trPr>
        <w:tc>
          <w:tcPr>
            <w:tcW w:w="828" w:type="dxa"/>
            <w:tcBorders>
              <w:top w:val="nil"/>
              <w:left w:val="nil"/>
              <w:bottom w:val="nil"/>
            </w:tcBorders>
          </w:tcPr>
          <w:p w:rsidR="00C91511" w:rsidRDefault="00C91511" w:rsidP="00C91511">
            <w:pPr>
              <w:pStyle w:val="TableText"/>
              <w:jc w:val="center"/>
            </w:pPr>
            <w:r>
              <w:t>M-10</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Birch Point Road</w:t>
            </w:r>
          </w:p>
        </w:tc>
        <w:tc>
          <w:tcPr>
            <w:tcW w:w="3240" w:type="dxa"/>
            <w:tcBorders>
              <w:top w:val="nil"/>
              <w:bottom w:val="nil"/>
            </w:tcBorders>
          </w:tcPr>
          <w:p w:rsidR="00C91511" w:rsidRDefault="00C91511" w:rsidP="00C91511">
            <w:pPr>
              <w:pStyle w:val="TableText"/>
            </w:pPr>
            <w:r>
              <w:t>Semiahmoo Drive to Shintaffer Road</w:t>
            </w:r>
          </w:p>
        </w:tc>
        <w:tc>
          <w:tcPr>
            <w:tcW w:w="3780" w:type="dxa"/>
            <w:tcBorders>
              <w:top w:val="nil"/>
              <w:bottom w:val="nil"/>
            </w:tcBorders>
          </w:tcPr>
          <w:p w:rsidR="00C91511" w:rsidRDefault="00C91511" w:rsidP="00C91511">
            <w:pPr>
              <w:pStyle w:val="TableText"/>
            </w:pPr>
            <w:r>
              <w:t>Reconstruct to urban minor arterial standards including non-motorized facilities</w:t>
            </w:r>
          </w:p>
        </w:tc>
        <w:tc>
          <w:tcPr>
            <w:tcW w:w="1710" w:type="dxa"/>
            <w:gridSpan w:val="2"/>
            <w:tcBorders>
              <w:top w:val="nil"/>
              <w:bottom w:val="nil"/>
            </w:tcBorders>
          </w:tcPr>
          <w:p w:rsidR="00C91511" w:rsidRDefault="00C91511" w:rsidP="00C91511">
            <w:pPr>
              <w:pStyle w:val="TableText"/>
            </w:pPr>
            <w:r>
              <w:t>$3,000,000</w:t>
            </w:r>
          </w:p>
        </w:tc>
      </w:tr>
      <w:tr w:rsidR="00C91511" w:rsidTr="00C91511">
        <w:tc>
          <w:tcPr>
            <w:tcW w:w="828" w:type="dxa"/>
            <w:tcBorders>
              <w:top w:val="nil"/>
              <w:left w:val="nil"/>
              <w:bottom w:val="nil"/>
            </w:tcBorders>
          </w:tcPr>
          <w:p w:rsidR="00C91511" w:rsidRDefault="00C91511" w:rsidP="00C91511">
            <w:pPr>
              <w:pStyle w:val="TableText"/>
              <w:jc w:val="center"/>
            </w:pPr>
            <w:r>
              <w:t>M-14</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Loomis Trail Road</w:t>
            </w:r>
          </w:p>
        </w:tc>
        <w:tc>
          <w:tcPr>
            <w:tcW w:w="3240" w:type="dxa"/>
            <w:tcBorders>
              <w:top w:val="nil"/>
              <w:bottom w:val="nil"/>
            </w:tcBorders>
          </w:tcPr>
          <w:p w:rsidR="00C91511" w:rsidRDefault="00C91511" w:rsidP="00C91511">
            <w:pPr>
              <w:pStyle w:val="TableText"/>
            </w:pPr>
            <w:r>
              <w:t>Blaine Road to Portal Way</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$1,200,000</w:t>
            </w:r>
          </w:p>
        </w:tc>
      </w:tr>
      <w:tr w:rsidR="00C91511" w:rsidTr="00C91511">
        <w:tc>
          <w:tcPr>
            <w:tcW w:w="828" w:type="dxa"/>
            <w:tcBorders>
              <w:top w:val="nil"/>
              <w:left w:val="nil"/>
              <w:bottom w:val="nil"/>
            </w:tcBorders>
          </w:tcPr>
          <w:p w:rsidR="00C91511" w:rsidRDefault="00C91511" w:rsidP="00C91511">
            <w:pPr>
              <w:pStyle w:val="TableText"/>
              <w:jc w:val="center"/>
            </w:pPr>
            <w:r>
              <w:t>M-15</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Semiahmoo Drive</w:t>
            </w:r>
          </w:p>
        </w:tc>
        <w:tc>
          <w:tcPr>
            <w:tcW w:w="3240" w:type="dxa"/>
            <w:tcBorders>
              <w:top w:val="nil"/>
              <w:bottom w:val="nil"/>
            </w:tcBorders>
          </w:tcPr>
          <w:p w:rsidR="00C91511" w:rsidRDefault="00C91511" w:rsidP="00C91511">
            <w:pPr>
              <w:pStyle w:val="TableText"/>
            </w:pPr>
            <w:r>
              <w:t>Blaine city limits to Birch Point Road</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$2,000,000</w:t>
            </w:r>
          </w:p>
        </w:tc>
      </w:tr>
      <w:tr w:rsidR="00C91511" w:rsidTr="00C91511">
        <w:tc>
          <w:tcPr>
            <w:tcW w:w="828" w:type="dxa"/>
            <w:tcBorders>
              <w:top w:val="nil"/>
              <w:left w:val="nil"/>
              <w:bottom w:val="nil"/>
            </w:tcBorders>
          </w:tcPr>
          <w:p w:rsidR="00C91511" w:rsidRDefault="00C91511" w:rsidP="00C91511">
            <w:pPr>
              <w:pStyle w:val="TableText"/>
              <w:jc w:val="center"/>
            </w:pPr>
            <w:r>
              <w:t>M-16</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Shintaffer Road</w:t>
            </w:r>
          </w:p>
        </w:tc>
        <w:tc>
          <w:tcPr>
            <w:tcW w:w="3240" w:type="dxa"/>
            <w:tcBorders>
              <w:top w:val="nil"/>
              <w:bottom w:val="nil"/>
            </w:tcBorders>
          </w:tcPr>
          <w:p w:rsidR="00C91511" w:rsidRDefault="00B502B3" w:rsidP="00C91511">
            <w:pPr>
              <w:pStyle w:val="TableText"/>
            </w:pPr>
            <w:r>
              <w:t>Lincoln Road to Birch Bay Dr.</w:t>
            </w:r>
            <w:r w:rsidR="00C91511">
              <w:t xml:space="preserve"> </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$600,000</w:t>
            </w:r>
          </w:p>
        </w:tc>
      </w:tr>
      <w:tr w:rsidR="00C91511" w:rsidTr="00C91511">
        <w:tc>
          <w:tcPr>
            <w:tcW w:w="828" w:type="dxa"/>
            <w:tcBorders>
              <w:top w:val="nil"/>
              <w:left w:val="nil"/>
              <w:bottom w:val="nil"/>
            </w:tcBorders>
          </w:tcPr>
          <w:p w:rsidR="00C91511" w:rsidRDefault="00C91511" w:rsidP="00C91511">
            <w:pPr>
              <w:pStyle w:val="TableText"/>
              <w:jc w:val="center"/>
            </w:pPr>
            <w:r>
              <w:t>M-17</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Vista Drive</w:t>
            </w:r>
          </w:p>
        </w:tc>
        <w:tc>
          <w:tcPr>
            <w:tcW w:w="3240" w:type="dxa"/>
            <w:tcBorders>
              <w:top w:val="nil"/>
              <w:bottom w:val="nil"/>
            </w:tcBorders>
          </w:tcPr>
          <w:p w:rsidR="00C91511" w:rsidRDefault="00C91511" w:rsidP="00C91511">
            <w:pPr>
              <w:pStyle w:val="TableText"/>
            </w:pPr>
            <w:r>
              <w:t>Bay Road to Grandview Road</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$1,500,000</w:t>
            </w:r>
          </w:p>
        </w:tc>
      </w:tr>
      <w:tr w:rsidR="00C91511" w:rsidTr="00C91511">
        <w:tc>
          <w:tcPr>
            <w:tcW w:w="828" w:type="dxa"/>
            <w:tcBorders>
              <w:top w:val="nil"/>
              <w:left w:val="nil"/>
              <w:bottom w:val="nil"/>
            </w:tcBorders>
          </w:tcPr>
          <w:p w:rsidR="00C91511" w:rsidRDefault="00C91511" w:rsidP="00C91511">
            <w:pPr>
              <w:pStyle w:val="TableText"/>
              <w:jc w:val="center"/>
            </w:pPr>
            <w:r>
              <w:t>M-18</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Bay Road</w:t>
            </w:r>
          </w:p>
        </w:tc>
        <w:tc>
          <w:tcPr>
            <w:tcW w:w="3240" w:type="dxa"/>
            <w:tcBorders>
              <w:top w:val="nil"/>
              <w:bottom w:val="nil"/>
            </w:tcBorders>
          </w:tcPr>
          <w:p w:rsidR="00C91511" w:rsidRDefault="00C91511" w:rsidP="00C91511">
            <w:pPr>
              <w:pStyle w:val="TableText"/>
            </w:pPr>
            <w:r>
              <w:t>Blaine Road to Vista Road</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$2,600,000</w:t>
            </w:r>
          </w:p>
        </w:tc>
      </w:tr>
      <w:tr w:rsidR="00C91511" w:rsidTr="00C91511">
        <w:tc>
          <w:tcPr>
            <w:tcW w:w="828" w:type="dxa"/>
            <w:tcBorders>
              <w:top w:val="nil"/>
              <w:left w:val="nil"/>
              <w:bottom w:val="nil"/>
            </w:tcBorders>
          </w:tcPr>
          <w:p w:rsidR="00C91511" w:rsidRDefault="00C91511" w:rsidP="00C91511">
            <w:pPr>
              <w:pStyle w:val="TableText"/>
              <w:jc w:val="center"/>
            </w:pPr>
            <w:r>
              <w:t>M-19</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Alderson Road</w:t>
            </w:r>
          </w:p>
        </w:tc>
        <w:tc>
          <w:tcPr>
            <w:tcW w:w="3240" w:type="dxa"/>
            <w:tcBorders>
              <w:top w:val="nil"/>
              <w:bottom w:val="nil"/>
            </w:tcBorders>
          </w:tcPr>
          <w:p w:rsidR="00C91511" w:rsidRDefault="00C91511" w:rsidP="00C91511">
            <w:pPr>
              <w:pStyle w:val="TableText"/>
            </w:pPr>
            <w:r>
              <w:t>Birch Bay Drive to Blaine Road</w:t>
            </w:r>
          </w:p>
        </w:tc>
        <w:tc>
          <w:tcPr>
            <w:tcW w:w="3780" w:type="dxa"/>
            <w:tcBorders>
              <w:top w:val="nil"/>
              <w:bottom w:val="nil"/>
            </w:tcBorders>
          </w:tcPr>
          <w:p w:rsidR="00C91511" w:rsidRDefault="00C91511" w:rsidP="00C91511">
            <w:pPr>
              <w:pStyle w:val="TableText"/>
            </w:pPr>
            <w:r>
              <w:t>Reconstruct to rural collector standards including paved shoulders for non-motorized travel.</w:t>
            </w:r>
          </w:p>
        </w:tc>
        <w:tc>
          <w:tcPr>
            <w:tcW w:w="1710" w:type="dxa"/>
            <w:gridSpan w:val="2"/>
            <w:tcBorders>
              <w:top w:val="nil"/>
              <w:bottom w:val="nil"/>
            </w:tcBorders>
          </w:tcPr>
          <w:p w:rsidR="00C91511" w:rsidRDefault="00C91511" w:rsidP="00C91511">
            <w:pPr>
              <w:pStyle w:val="TableText"/>
            </w:pPr>
            <w:r>
              <w:t>$600,000</w:t>
            </w:r>
          </w:p>
        </w:tc>
      </w:tr>
      <w:tr w:rsidR="00C91511" w:rsidTr="00C91511">
        <w:tc>
          <w:tcPr>
            <w:tcW w:w="828" w:type="dxa"/>
            <w:tcBorders>
              <w:top w:val="nil"/>
              <w:left w:val="nil"/>
              <w:bottom w:val="nil"/>
            </w:tcBorders>
          </w:tcPr>
          <w:p w:rsidR="00C91511" w:rsidRDefault="00C91511" w:rsidP="00C91511">
            <w:pPr>
              <w:pStyle w:val="TableText"/>
              <w:jc w:val="center"/>
            </w:pPr>
            <w:r>
              <w:t>WC-1</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Bakerview Rd.</w:t>
            </w:r>
          </w:p>
        </w:tc>
        <w:tc>
          <w:tcPr>
            <w:tcW w:w="3240" w:type="dxa"/>
            <w:tcBorders>
              <w:top w:val="nil"/>
              <w:bottom w:val="nil"/>
            </w:tcBorders>
          </w:tcPr>
          <w:p w:rsidR="00C91511" w:rsidRDefault="00C91511" w:rsidP="00C91511">
            <w:pPr>
              <w:pStyle w:val="TableText"/>
            </w:pPr>
            <w:r>
              <w:t>E Bakerview to Aldrich Rd</w:t>
            </w:r>
          </w:p>
        </w:tc>
        <w:tc>
          <w:tcPr>
            <w:tcW w:w="3780" w:type="dxa"/>
            <w:tcBorders>
              <w:top w:val="nil"/>
              <w:bottom w:val="nil"/>
            </w:tcBorders>
          </w:tcPr>
          <w:p w:rsidR="00C91511" w:rsidRDefault="00C91511" w:rsidP="00C91511">
            <w:pPr>
              <w:pStyle w:val="TableText"/>
            </w:pPr>
            <w:r>
              <w:t>Reconstruct to urban arterial, standards including non-motorized facilities</w:t>
            </w:r>
          </w:p>
        </w:tc>
        <w:tc>
          <w:tcPr>
            <w:tcW w:w="1710" w:type="dxa"/>
            <w:gridSpan w:val="2"/>
            <w:tcBorders>
              <w:top w:val="nil"/>
              <w:bottom w:val="nil"/>
            </w:tcBorders>
          </w:tcPr>
          <w:p w:rsidR="00C91511" w:rsidRDefault="00C91511" w:rsidP="00C91511">
            <w:pPr>
              <w:pStyle w:val="TableText"/>
            </w:pPr>
            <w:r>
              <w:t>$3,000,000</w:t>
            </w:r>
          </w:p>
        </w:tc>
      </w:tr>
      <w:tr w:rsidR="00C91511" w:rsidTr="00C91511">
        <w:tc>
          <w:tcPr>
            <w:tcW w:w="828" w:type="dxa"/>
            <w:tcBorders>
              <w:top w:val="nil"/>
              <w:left w:val="nil"/>
              <w:bottom w:val="nil"/>
            </w:tcBorders>
          </w:tcPr>
          <w:p w:rsidR="00C91511" w:rsidRDefault="00C91511" w:rsidP="00C91511">
            <w:pPr>
              <w:pStyle w:val="TableText"/>
              <w:jc w:val="center"/>
            </w:pPr>
            <w:r>
              <w:t>WC-21</w:t>
            </w:r>
          </w:p>
        </w:tc>
        <w:tc>
          <w:tcPr>
            <w:tcW w:w="1260" w:type="dxa"/>
            <w:gridSpan w:val="2"/>
            <w:tcBorders>
              <w:top w:val="nil"/>
              <w:bottom w:val="nil"/>
            </w:tcBorders>
          </w:tcPr>
          <w:p w:rsidR="00C91511" w:rsidRDefault="00C91511" w:rsidP="00C91511">
            <w:pPr>
              <w:pStyle w:val="TableText"/>
              <w:jc w:val="center"/>
            </w:pPr>
          </w:p>
        </w:tc>
        <w:tc>
          <w:tcPr>
            <w:tcW w:w="2880" w:type="dxa"/>
            <w:tcBorders>
              <w:top w:val="nil"/>
              <w:bottom w:val="nil"/>
            </w:tcBorders>
          </w:tcPr>
          <w:p w:rsidR="00C91511" w:rsidRDefault="00C91511" w:rsidP="00C91511">
            <w:pPr>
              <w:pStyle w:val="TableText"/>
            </w:pPr>
            <w:r>
              <w:t>San Juan Blvd.</w:t>
            </w:r>
          </w:p>
        </w:tc>
        <w:tc>
          <w:tcPr>
            <w:tcW w:w="3240" w:type="dxa"/>
            <w:tcBorders>
              <w:top w:val="nil"/>
              <w:bottom w:val="nil"/>
            </w:tcBorders>
          </w:tcPr>
          <w:p w:rsidR="00C91511" w:rsidRDefault="00C91511" w:rsidP="00C91511">
            <w:pPr>
              <w:pStyle w:val="TableText"/>
            </w:pPr>
            <w:r>
              <w:t>40th St. to 48th St.</w:t>
            </w:r>
          </w:p>
        </w:tc>
        <w:tc>
          <w:tcPr>
            <w:tcW w:w="3780" w:type="dxa"/>
            <w:tcBorders>
              <w:top w:val="nil"/>
              <w:bottom w:val="nil"/>
            </w:tcBorders>
          </w:tcPr>
          <w:p w:rsidR="00C91511" w:rsidRDefault="00C91511" w:rsidP="00C91511">
            <w:pPr>
              <w:pStyle w:val="TableText"/>
            </w:pPr>
            <w:r>
              <w:t>Construction and extension of new Urban Arterial (2 phases) with non-motorized facilities</w:t>
            </w:r>
          </w:p>
        </w:tc>
        <w:tc>
          <w:tcPr>
            <w:tcW w:w="1710" w:type="dxa"/>
            <w:gridSpan w:val="2"/>
            <w:tcBorders>
              <w:top w:val="nil"/>
              <w:bottom w:val="nil"/>
            </w:tcBorders>
          </w:tcPr>
          <w:p w:rsidR="00C91511" w:rsidRDefault="00C91511" w:rsidP="00C91511">
            <w:pPr>
              <w:pStyle w:val="TableText"/>
            </w:pPr>
            <w:r>
              <w:t>$7,700,000</w:t>
            </w:r>
          </w:p>
        </w:tc>
      </w:tr>
      <w:tr w:rsidR="00C91511" w:rsidTr="00C91511">
        <w:tc>
          <w:tcPr>
            <w:tcW w:w="828" w:type="dxa"/>
            <w:tcBorders>
              <w:top w:val="nil"/>
              <w:left w:val="nil"/>
            </w:tcBorders>
          </w:tcPr>
          <w:p w:rsidR="00C91511" w:rsidRPr="00467588" w:rsidRDefault="00C91511" w:rsidP="00C91511">
            <w:pPr>
              <w:pStyle w:val="TableText"/>
              <w:jc w:val="center"/>
            </w:pPr>
            <w:r w:rsidRPr="00467588">
              <w:t>EIS-1</w:t>
            </w:r>
          </w:p>
        </w:tc>
        <w:tc>
          <w:tcPr>
            <w:tcW w:w="1260" w:type="dxa"/>
            <w:gridSpan w:val="2"/>
            <w:tcBorders>
              <w:top w:val="nil"/>
            </w:tcBorders>
          </w:tcPr>
          <w:p w:rsidR="00C91511" w:rsidRPr="00467588" w:rsidRDefault="00C91511" w:rsidP="00C91511">
            <w:pPr>
              <w:pStyle w:val="TableText"/>
              <w:jc w:val="center"/>
            </w:pPr>
            <w:r w:rsidRPr="00467588">
              <w:t>X</w:t>
            </w:r>
          </w:p>
        </w:tc>
        <w:tc>
          <w:tcPr>
            <w:tcW w:w="2880" w:type="dxa"/>
            <w:tcBorders>
              <w:top w:val="nil"/>
            </w:tcBorders>
          </w:tcPr>
          <w:p w:rsidR="00C91511" w:rsidRPr="00467588" w:rsidRDefault="00C91511" w:rsidP="00C91511">
            <w:pPr>
              <w:pStyle w:val="TableText"/>
            </w:pPr>
            <w:r w:rsidRPr="00467588">
              <w:t xml:space="preserve">Lakeway Drive/ Terrace Avenue N/ </w:t>
            </w:r>
            <w:r w:rsidRPr="00467588">
              <w:lastRenderedPageBreak/>
              <w:t>Cable Street</w:t>
            </w:r>
          </w:p>
        </w:tc>
        <w:tc>
          <w:tcPr>
            <w:tcW w:w="3240" w:type="dxa"/>
            <w:tcBorders>
              <w:top w:val="nil"/>
            </w:tcBorders>
          </w:tcPr>
          <w:p w:rsidR="00C91511" w:rsidRPr="00467588" w:rsidRDefault="00C91511" w:rsidP="00C91511">
            <w:pPr>
              <w:pStyle w:val="TableText"/>
            </w:pPr>
            <w:r w:rsidRPr="00467588">
              <w:lastRenderedPageBreak/>
              <w:t xml:space="preserve">Bellingham City Limits - Lake Whatcom </w:t>
            </w:r>
            <w:r w:rsidRPr="00467588">
              <w:lastRenderedPageBreak/>
              <w:t>Boulevard</w:t>
            </w:r>
          </w:p>
        </w:tc>
        <w:tc>
          <w:tcPr>
            <w:tcW w:w="3780" w:type="dxa"/>
            <w:tcBorders>
              <w:top w:val="nil"/>
            </w:tcBorders>
          </w:tcPr>
          <w:p w:rsidR="00C91511" w:rsidRPr="00467588" w:rsidRDefault="00C91511" w:rsidP="00C91511">
            <w:pPr>
              <w:pStyle w:val="TableText"/>
            </w:pPr>
            <w:r w:rsidRPr="00467588">
              <w:lastRenderedPageBreak/>
              <w:t xml:space="preserve">Widen to 4 lanes at urban minor arterial </w:t>
            </w:r>
            <w:r w:rsidRPr="00467588">
              <w:lastRenderedPageBreak/>
              <w:t>standards; add left turn lanes.</w:t>
            </w:r>
          </w:p>
        </w:tc>
        <w:tc>
          <w:tcPr>
            <w:tcW w:w="1710" w:type="dxa"/>
            <w:gridSpan w:val="2"/>
            <w:tcBorders>
              <w:top w:val="nil"/>
            </w:tcBorders>
          </w:tcPr>
          <w:p w:rsidR="00C91511" w:rsidRDefault="00C91511" w:rsidP="00C91511">
            <w:pPr>
              <w:pStyle w:val="TableText"/>
            </w:pPr>
            <w:r w:rsidRPr="00467588">
              <w:lastRenderedPageBreak/>
              <w:t>$12,402,000</w:t>
            </w:r>
          </w:p>
        </w:tc>
      </w:tr>
      <w:tr w:rsidR="00C91511" w:rsidTr="00C91511">
        <w:tc>
          <w:tcPr>
            <w:tcW w:w="828" w:type="dxa"/>
            <w:tcBorders>
              <w:left w:val="nil"/>
            </w:tcBorders>
          </w:tcPr>
          <w:p w:rsidR="00C91511" w:rsidRDefault="00C91511" w:rsidP="00C91511">
            <w:pPr>
              <w:pStyle w:val="TableText"/>
              <w:jc w:val="center"/>
            </w:pPr>
            <w:r>
              <w:lastRenderedPageBreak/>
              <w:t>EIS-2</w:t>
            </w:r>
          </w:p>
        </w:tc>
        <w:tc>
          <w:tcPr>
            <w:tcW w:w="1260" w:type="dxa"/>
            <w:gridSpan w:val="2"/>
          </w:tcPr>
          <w:p w:rsidR="00C91511" w:rsidRDefault="00C91511" w:rsidP="00C91511">
            <w:pPr>
              <w:pStyle w:val="TableText"/>
              <w:jc w:val="center"/>
            </w:pPr>
          </w:p>
        </w:tc>
        <w:tc>
          <w:tcPr>
            <w:tcW w:w="2880" w:type="dxa"/>
          </w:tcPr>
          <w:p w:rsidR="00C91511" w:rsidRDefault="00C91511" w:rsidP="00C91511">
            <w:pPr>
              <w:pStyle w:val="TableText"/>
            </w:pPr>
            <w:r>
              <w:t>Everson Goshen Road</w:t>
            </w:r>
          </w:p>
        </w:tc>
        <w:tc>
          <w:tcPr>
            <w:tcW w:w="3240" w:type="dxa"/>
          </w:tcPr>
          <w:p w:rsidR="00C91511" w:rsidRDefault="00C91511" w:rsidP="00C91511">
            <w:pPr>
              <w:pStyle w:val="TableText"/>
            </w:pPr>
            <w:r>
              <w:t>SR 542 - SR 544</w:t>
            </w:r>
          </w:p>
        </w:tc>
        <w:tc>
          <w:tcPr>
            <w:tcW w:w="3780" w:type="dxa"/>
          </w:tcPr>
          <w:p w:rsidR="00C91511" w:rsidRDefault="00C91511" w:rsidP="00C91511">
            <w:pPr>
              <w:pStyle w:val="TableText"/>
            </w:pPr>
            <w:r>
              <w:t>Add left-turn lanes at rural major collector standards.</w:t>
            </w:r>
          </w:p>
        </w:tc>
        <w:tc>
          <w:tcPr>
            <w:tcW w:w="1710" w:type="dxa"/>
            <w:gridSpan w:val="2"/>
          </w:tcPr>
          <w:p w:rsidR="00C91511" w:rsidRDefault="00C91511" w:rsidP="00C91511">
            <w:pPr>
              <w:pStyle w:val="TableText"/>
            </w:pPr>
            <w:r>
              <w:t>$7,993,000</w:t>
            </w:r>
          </w:p>
        </w:tc>
      </w:tr>
      <w:tr w:rsidR="00C91511" w:rsidTr="00C91511">
        <w:tc>
          <w:tcPr>
            <w:tcW w:w="828" w:type="dxa"/>
            <w:tcBorders>
              <w:left w:val="nil"/>
            </w:tcBorders>
          </w:tcPr>
          <w:p w:rsidR="00C91511" w:rsidRDefault="00C91511" w:rsidP="00C91511">
            <w:pPr>
              <w:pStyle w:val="TableText"/>
              <w:jc w:val="center"/>
            </w:pPr>
            <w:r>
              <w:t>EIS-6</w:t>
            </w:r>
          </w:p>
        </w:tc>
        <w:tc>
          <w:tcPr>
            <w:tcW w:w="1260" w:type="dxa"/>
            <w:gridSpan w:val="2"/>
          </w:tcPr>
          <w:p w:rsidR="00C91511" w:rsidRDefault="00C91511" w:rsidP="00C91511">
            <w:pPr>
              <w:pStyle w:val="TableText"/>
              <w:jc w:val="center"/>
            </w:pPr>
          </w:p>
        </w:tc>
        <w:tc>
          <w:tcPr>
            <w:tcW w:w="2880" w:type="dxa"/>
          </w:tcPr>
          <w:p w:rsidR="00C91511" w:rsidRDefault="00C91511" w:rsidP="00C91511">
            <w:pPr>
              <w:pStyle w:val="TableText"/>
            </w:pPr>
            <w:r>
              <w:t>Marine Drive</w:t>
            </w:r>
          </w:p>
        </w:tc>
        <w:tc>
          <w:tcPr>
            <w:tcW w:w="3240" w:type="dxa"/>
          </w:tcPr>
          <w:p w:rsidR="00C91511" w:rsidRDefault="00C91511" w:rsidP="00C91511">
            <w:pPr>
              <w:pStyle w:val="TableText"/>
            </w:pPr>
            <w:r>
              <w:t>Lummi Shore Drive (North of Cagey Road) - Country Lane</w:t>
            </w:r>
          </w:p>
        </w:tc>
        <w:tc>
          <w:tcPr>
            <w:tcW w:w="3780" w:type="dxa"/>
          </w:tcPr>
          <w:p w:rsidR="00C91511" w:rsidRDefault="00C91511" w:rsidP="00C91511">
            <w:pPr>
              <w:pStyle w:val="TableText"/>
            </w:pPr>
            <w:r>
              <w:t>Add left-turn lanes at rural major collector standards.</w:t>
            </w:r>
          </w:p>
        </w:tc>
        <w:tc>
          <w:tcPr>
            <w:tcW w:w="1710" w:type="dxa"/>
            <w:gridSpan w:val="2"/>
          </w:tcPr>
          <w:p w:rsidR="00C91511" w:rsidRDefault="00C91511" w:rsidP="00C91511">
            <w:pPr>
              <w:pStyle w:val="TableText"/>
            </w:pPr>
            <w:r>
              <w:t>$1,833,000</w:t>
            </w:r>
          </w:p>
        </w:tc>
      </w:tr>
      <w:tr w:rsidR="00C91511" w:rsidTr="00C91511">
        <w:tc>
          <w:tcPr>
            <w:tcW w:w="828" w:type="dxa"/>
            <w:tcBorders>
              <w:left w:val="nil"/>
            </w:tcBorders>
          </w:tcPr>
          <w:p w:rsidR="00C91511" w:rsidRDefault="00C91511" w:rsidP="00C91511">
            <w:pPr>
              <w:pStyle w:val="TableText"/>
              <w:jc w:val="center"/>
            </w:pPr>
            <w:r>
              <w:t>EIS-7</w:t>
            </w:r>
          </w:p>
        </w:tc>
        <w:tc>
          <w:tcPr>
            <w:tcW w:w="1260" w:type="dxa"/>
            <w:gridSpan w:val="2"/>
          </w:tcPr>
          <w:p w:rsidR="00C91511" w:rsidRDefault="00C91511" w:rsidP="00C91511">
            <w:pPr>
              <w:pStyle w:val="TableText"/>
              <w:jc w:val="center"/>
            </w:pPr>
          </w:p>
        </w:tc>
        <w:tc>
          <w:tcPr>
            <w:tcW w:w="2880" w:type="dxa"/>
          </w:tcPr>
          <w:p w:rsidR="00C91511" w:rsidRDefault="00C91511" w:rsidP="00C91511">
            <w:pPr>
              <w:pStyle w:val="TableText"/>
            </w:pPr>
            <w:r>
              <w:t>Marine Drive</w:t>
            </w:r>
          </w:p>
        </w:tc>
        <w:tc>
          <w:tcPr>
            <w:tcW w:w="3240" w:type="dxa"/>
          </w:tcPr>
          <w:p w:rsidR="00C91511" w:rsidRDefault="00C91511" w:rsidP="00C91511">
            <w:pPr>
              <w:pStyle w:val="TableText"/>
            </w:pPr>
            <w:r>
              <w:t>Bancroft Road - Alderwood Avenue</w:t>
            </w:r>
          </w:p>
        </w:tc>
        <w:tc>
          <w:tcPr>
            <w:tcW w:w="3780" w:type="dxa"/>
          </w:tcPr>
          <w:p w:rsidR="00C91511" w:rsidRDefault="00C91511" w:rsidP="00C91511">
            <w:pPr>
              <w:pStyle w:val="TableText"/>
            </w:pPr>
            <w:r>
              <w:t xml:space="preserve">Add left-turn lanes at urban minor arterial standards. </w:t>
            </w:r>
          </w:p>
        </w:tc>
        <w:tc>
          <w:tcPr>
            <w:tcW w:w="1710" w:type="dxa"/>
            <w:gridSpan w:val="2"/>
          </w:tcPr>
          <w:p w:rsidR="00C91511" w:rsidRDefault="00C91511" w:rsidP="00C91511">
            <w:pPr>
              <w:pStyle w:val="TableText"/>
            </w:pPr>
            <w:r>
              <w:t>$3,157,000</w:t>
            </w:r>
          </w:p>
        </w:tc>
      </w:tr>
      <w:tr w:rsidR="00C91511" w:rsidRPr="00467588" w:rsidTr="00C91511">
        <w:tc>
          <w:tcPr>
            <w:tcW w:w="828" w:type="dxa"/>
            <w:tcBorders>
              <w:left w:val="nil"/>
              <w:bottom w:val="nil"/>
            </w:tcBorders>
          </w:tcPr>
          <w:p w:rsidR="00C91511" w:rsidRDefault="00C91511" w:rsidP="00C91511">
            <w:pPr>
              <w:pStyle w:val="TableText"/>
              <w:jc w:val="center"/>
            </w:pPr>
          </w:p>
        </w:tc>
        <w:tc>
          <w:tcPr>
            <w:tcW w:w="1260" w:type="dxa"/>
            <w:gridSpan w:val="2"/>
            <w:tcBorders>
              <w:bottom w:val="nil"/>
            </w:tcBorders>
          </w:tcPr>
          <w:p w:rsidR="00C91511" w:rsidRDefault="00C91511" w:rsidP="00C91511">
            <w:pPr>
              <w:pStyle w:val="TableText"/>
              <w:jc w:val="center"/>
            </w:pPr>
          </w:p>
        </w:tc>
        <w:tc>
          <w:tcPr>
            <w:tcW w:w="2880" w:type="dxa"/>
            <w:tcBorders>
              <w:bottom w:val="nil"/>
            </w:tcBorders>
          </w:tcPr>
          <w:p w:rsidR="00C91511" w:rsidRPr="00467588" w:rsidRDefault="00C91511" w:rsidP="00C91511">
            <w:pPr>
              <w:pStyle w:val="TableText"/>
            </w:pPr>
            <w:r w:rsidRPr="00467588">
              <w:t>W. Smith Road/ Northwest Drive</w:t>
            </w:r>
          </w:p>
        </w:tc>
        <w:tc>
          <w:tcPr>
            <w:tcW w:w="3240" w:type="dxa"/>
            <w:tcBorders>
              <w:bottom w:val="nil"/>
            </w:tcBorders>
          </w:tcPr>
          <w:p w:rsidR="00C91511" w:rsidRPr="00467588" w:rsidRDefault="00C91511" w:rsidP="00C91511">
            <w:pPr>
              <w:pStyle w:val="TableText"/>
            </w:pPr>
            <w:r w:rsidRPr="00467588">
              <w:t>Intersection</w:t>
            </w:r>
          </w:p>
        </w:tc>
        <w:tc>
          <w:tcPr>
            <w:tcW w:w="3780" w:type="dxa"/>
            <w:tcBorders>
              <w:bottom w:val="nil"/>
            </w:tcBorders>
          </w:tcPr>
          <w:p w:rsidR="00C91511" w:rsidRPr="00467588" w:rsidRDefault="00C91511" w:rsidP="00C91511">
            <w:pPr>
              <w:pStyle w:val="TableText"/>
            </w:pPr>
            <w:r w:rsidRPr="00467588">
              <w:t>Construct roundabout when warranted</w:t>
            </w:r>
          </w:p>
        </w:tc>
        <w:tc>
          <w:tcPr>
            <w:tcW w:w="1710" w:type="dxa"/>
            <w:gridSpan w:val="2"/>
            <w:tcBorders>
              <w:bottom w:val="nil"/>
            </w:tcBorders>
          </w:tcPr>
          <w:p w:rsidR="00C91511" w:rsidRPr="00467588" w:rsidRDefault="00C91511" w:rsidP="00C91511">
            <w:pPr>
              <w:pStyle w:val="TableText"/>
            </w:pPr>
            <w:r w:rsidRPr="00467588">
              <w:t>$4,000,000</w:t>
            </w:r>
          </w:p>
        </w:tc>
      </w:tr>
      <w:tr w:rsidR="00C91511" w:rsidTr="00C91511">
        <w:tc>
          <w:tcPr>
            <w:tcW w:w="828" w:type="dxa"/>
            <w:tcBorders>
              <w:left w:val="nil"/>
              <w:bottom w:val="nil"/>
            </w:tcBorders>
          </w:tcPr>
          <w:p w:rsidR="00C91511" w:rsidRPr="00467588" w:rsidRDefault="00C91511" w:rsidP="00C91511">
            <w:pPr>
              <w:pStyle w:val="TableText"/>
              <w:jc w:val="center"/>
            </w:pPr>
          </w:p>
        </w:tc>
        <w:tc>
          <w:tcPr>
            <w:tcW w:w="1260" w:type="dxa"/>
            <w:gridSpan w:val="2"/>
            <w:tcBorders>
              <w:bottom w:val="nil"/>
            </w:tcBorders>
          </w:tcPr>
          <w:p w:rsidR="00C91511" w:rsidRPr="00467588" w:rsidRDefault="00C91511" w:rsidP="00C91511">
            <w:pPr>
              <w:pStyle w:val="TableText"/>
              <w:jc w:val="center"/>
            </w:pPr>
          </w:p>
        </w:tc>
        <w:tc>
          <w:tcPr>
            <w:tcW w:w="2880" w:type="dxa"/>
            <w:tcBorders>
              <w:bottom w:val="nil"/>
            </w:tcBorders>
          </w:tcPr>
          <w:p w:rsidR="00C91511" w:rsidRPr="00467588" w:rsidRDefault="00C91511" w:rsidP="00C91511">
            <w:pPr>
              <w:pStyle w:val="TableText"/>
            </w:pPr>
            <w:r w:rsidRPr="00467588">
              <w:t>E. Smith Road/ Hannegan Road</w:t>
            </w:r>
          </w:p>
        </w:tc>
        <w:tc>
          <w:tcPr>
            <w:tcW w:w="3240" w:type="dxa"/>
            <w:tcBorders>
              <w:bottom w:val="nil"/>
            </w:tcBorders>
          </w:tcPr>
          <w:p w:rsidR="00C91511" w:rsidRPr="00467588" w:rsidRDefault="00C91511" w:rsidP="00C91511">
            <w:pPr>
              <w:pStyle w:val="TableText"/>
            </w:pPr>
            <w:r w:rsidRPr="00467588">
              <w:t>Intersection</w:t>
            </w:r>
          </w:p>
        </w:tc>
        <w:tc>
          <w:tcPr>
            <w:tcW w:w="3780" w:type="dxa"/>
            <w:tcBorders>
              <w:bottom w:val="nil"/>
            </w:tcBorders>
          </w:tcPr>
          <w:p w:rsidR="00C91511" w:rsidRPr="00467588" w:rsidRDefault="00C91511" w:rsidP="00C91511">
            <w:pPr>
              <w:pStyle w:val="TableText"/>
            </w:pPr>
            <w:r w:rsidRPr="00467588">
              <w:t>Improve/redesign intersection or build roundabout when warranted</w:t>
            </w:r>
          </w:p>
        </w:tc>
        <w:tc>
          <w:tcPr>
            <w:tcW w:w="1710" w:type="dxa"/>
            <w:gridSpan w:val="2"/>
            <w:tcBorders>
              <w:bottom w:val="nil"/>
            </w:tcBorders>
          </w:tcPr>
          <w:p w:rsidR="00C91511" w:rsidRDefault="00C91511" w:rsidP="00C91511">
            <w:pPr>
              <w:pStyle w:val="TableText"/>
            </w:pPr>
            <w:r w:rsidRPr="00467588">
              <w:t>$3,000,000</w:t>
            </w:r>
          </w:p>
        </w:tc>
      </w:tr>
      <w:tr w:rsidR="00C91511" w:rsidTr="00C91511">
        <w:tc>
          <w:tcPr>
            <w:tcW w:w="828" w:type="dxa"/>
            <w:tcBorders>
              <w:left w:val="nil"/>
              <w:bottom w:val="nil"/>
            </w:tcBorders>
          </w:tcPr>
          <w:p w:rsidR="00C91511" w:rsidRDefault="00C91511" w:rsidP="00C91511">
            <w:pPr>
              <w:pStyle w:val="TableText"/>
              <w:jc w:val="center"/>
            </w:pPr>
            <w:r>
              <w:t>EIS-8</w:t>
            </w:r>
          </w:p>
        </w:tc>
        <w:tc>
          <w:tcPr>
            <w:tcW w:w="1260" w:type="dxa"/>
            <w:gridSpan w:val="2"/>
            <w:tcBorders>
              <w:bottom w:val="nil"/>
            </w:tcBorders>
          </w:tcPr>
          <w:p w:rsidR="00C91511" w:rsidRDefault="00C91511" w:rsidP="00C91511">
            <w:pPr>
              <w:pStyle w:val="TableText"/>
              <w:jc w:val="center"/>
            </w:pPr>
          </w:p>
        </w:tc>
        <w:tc>
          <w:tcPr>
            <w:tcW w:w="2880" w:type="dxa"/>
            <w:tcBorders>
              <w:bottom w:val="nil"/>
            </w:tcBorders>
          </w:tcPr>
          <w:p w:rsidR="00C91511" w:rsidRDefault="00C91511" w:rsidP="00C91511">
            <w:pPr>
              <w:pStyle w:val="TableText"/>
            </w:pPr>
            <w:r>
              <w:t>Northwest Drive</w:t>
            </w:r>
          </w:p>
        </w:tc>
        <w:tc>
          <w:tcPr>
            <w:tcW w:w="3240" w:type="dxa"/>
            <w:tcBorders>
              <w:bottom w:val="nil"/>
            </w:tcBorders>
          </w:tcPr>
          <w:p w:rsidR="00C91511" w:rsidRDefault="00C91511" w:rsidP="00C91511">
            <w:pPr>
              <w:pStyle w:val="TableText"/>
            </w:pPr>
            <w:r>
              <w:t>Bellingham City Limits - Smith Road W</w:t>
            </w:r>
          </w:p>
        </w:tc>
        <w:tc>
          <w:tcPr>
            <w:tcW w:w="3780" w:type="dxa"/>
            <w:tcBorders>
              <w:bottom w:val="nil"/>
            </w:tcBorders>
          </w:tcPr>
          <w:p w:rsidR="00C91511" w:rsidRDefault="00C91511" w:rsidP="00C91511">
            <w:pPr>
              <w:pStyle w:val="TableText"/>
            </w:pPr>
            <w:r>
              <w:t>Add left-turn lanes at rural minor arterial standards.</w:t>
            </w:r>
          </w:p>
        </w:tc>
        <w:tc>
          <w:tcPr>
            <w:tcW w:w="1710" w:type="dxa"/>
            <w:gridSpan w:val="2"/>
            <w:tcBorders>
              <w:bottom w:val="nil"/>
            </w:tcBorders>
          </w:tcPr>
          <w:p w:rsidR="00C91511" w:rsidRDefault="00C91511" w:rsidP="00C91511">
            <w:pPr>
              <w:pStyle w:val="TableText"/>
            </w:pPr>
            <w:r>
              <w:t>$5,526,000</w:t>
            </w:r>
          </w:p>
        </w:tc>
      </w:tr>
      <w:tr w:rsidR="00C91511" w:rsidTr="00C91511">
        <w:tc>
          <w:tcPr>
            <w:tcW w:w="828" w:type="dxa"/>
            <w:tcBorders>
              <w:top w:val="nil"/>
              <w:left w:val="nil"/>
              <w:bottom w:val="single" w:sz="4" w:space="0" w:color="1F497D"/>
            </w:tcBorders>
          </w:tcPr>
          <w:p w:rsidR="00C91511" w:rsidRDefault="00C91511" w:rsidP="00C91511">
            <w:pPr>
              <w:pStyle w:val="TableText"/>
              <w:jc w:val="center"/>
            </w:pPr>
            <w:r>
              <w:t>EIS-9</w:t>
            </w:r>
          </w:p>
        </w:tc>
        <w:tc>
          <w:tcPr>
            <w:tcW w:w="1260" w:type="dxa"/>
            <w:gridSpan w:val="2"/>
            <w:tcBorders>
              <w:top w:val="nil"/>
              <w:bottom w:val="single" w:sz="4" w:space="0" w:color="1F497D"/>
            </w:tcBorders>
          </w:tcPr>
          <w:p w:rsidR="00C91511" w:rsidRDefault="00C91511" w:rsidP="00C91511">
            <w:pPr>
              <w:pStyle w:val="TableText"/>
              <w:jc w:val="center"/>
            </w:pPr>
          </w:p>
        </w:tc>
        <w:tc>
          <w:tcPr>
            <w:tcW w:w="2880" w:type="dxa"/>
            <w:tcBorders>
              <w:top w:val="nil"/>
              <w:bottom w:val="single" w:sz="4" w:space="0" w:color="1F497D"/>
            </w:tcBorders>
          </w:tcPr>
          <w:p w:rsidR="00C91511" w:rsidRDefault="00C91511" w:rsidP="00C91511">
            <w:pPr>
              <w:pStyle w:val="TableText"/>
            </w:pPr>
            <w:r>
              <w:t>Slater Road</w:t>
            </w:r>
          </w:p>
        </w:tc>
        <w:tc>
          <w:tcPr>
            <w:tcW w:w="3240" w:type="dxa"/>
            <w:tcBorders>
              <w:top w:val="nil"/>
              <w:bottom w:val="single" w:sz="4" w:space="0" w:color="1F497D"/>
            </w:tcBorders>
          </w:tcPr>
          <w:p w:rsidR="00C91511" w:rsidRDefault="00C91511" w:rsidP="00C91511">
            <w:pPr>
              <w:pStyle w:val="TableText"/>
            </w:pPr>
            <w:r>
              <w:t>Lake Terrell Road - 0.70 mile west of Haxton Way (1.8 miles)</w:t>
            </w:r>
          </w:p>
        </w:tc>
        <w:tc>
          <w:tcPr>
            <w:tcW w:w="3780" w:type="dxa"/>
            <w:tcBorders>
              <w:top w:val="nil"/>
              <w:bottom w:val="single" w:sz="4" w:space="0" w:color="1F497D"/>
            </w:tcBorders>
          </w:tcPr>
          <w:p w:rsidR="00C91511" w:rsidRDefault="00C91511" w:rsidP="00C91511">
            <w:pPr>
              <w:pStyle w:val="TableText"/>
            </w:pPr>
            <w:r>
              <w:t xml:space="preserve">Add left-turn lanes at rural major collector standards. </w:t>
            </w:r>
          </w:p>
        </w:tc>
        <w:tc>
          <w:tcPr>
            <w:tcW w:w="1710" w:type="dxa"/>
            <w:gridSpan w:val="2"/>
            <w:tcBorders>
              <w:top w:val="nil"/>
              <w:bottom w:val="single" w:sz="4" w:space="0" w:color="1F497D"/>
            </w:tcBorders>
          </w:tcPr>
          <w:p w:rsidR="00C91511" w:rsidRDefault="00C91511" w:rsidP="00C91511">
            <w:pPr>
              <w:pStyle w:val="TableText"/>
            </w:pPr>
            <w:r>
              <w:t>$2,140,000</w:t>
            </w:r>
          </w:p>
        </w:tc>
      </w:tr>
    </w:tbl>
    <w:p w:rsidR="00C91511" w:rsidRDefault="00C91511" w:rsidP="00C91511">
      <w:pPr>
        <w:pStyle w:val="TableNotesLast"/>
        <w:spacing w:after="0"/>
        <w:ind w:left="360" w:hanging="360"/>
      </w:pPr>
    </w:p>
    <w:p w:rsidR="00C91511" w:rsidRPr="0041309D" w:rsidRDefault="00C91511" w:rsidP="00C91511">
      <w:pPr>
        <w:spacing w:before="0" w:after="200" w:line="276" w:lineRule="auto"/>
        <w:rPr>
          <w:rFonts w:ascii="Arial" w:hAnsi="Arial" w:cs="Arial"/>
          <w:sz w:val="15"/>
          <w:szCs w:val="15"/>
        </w:rPr>
        <w:sectPr w:rsidR="00C91511" w:rsidRPr="0041309D" w:rsidSect="00C91511">
          <w:headerReference w:type="even" r:id="rId11"/>
          <w:headerReference w:type="default" r:id="rId12"/>
          <w:footerReference w:type="even" r:id="rId13"/>
          <w:footerReference w:type="default" r:id="rId14"/>
          <w:headerReference w:type="first" r:id="rId15"/>
          <w:pgSz w:w="15840" w:h="12240" w:orient="landscape" w:code="1"/>
          <w:pgMar w:top="1800" w:right="1440" w:bottom="1800" w:left="1440" w:header="720" w:footer="720" w:gutter="0"/>
          <w:cols w:space="720"/>
          <w:docGrid w:linePitch="360"/>
        </w:sectPr>
      </w:pPr>
    </w:p>
    <w:p w:rsidR="00E33B3F" w:rsidRDefault="00E33B3F" w:rsidP="00E33B3F">
      <w:pPr>
        <w:pStyle w:val="Heading2"/>
      </w:pPr>
      <w:bookmarkStart w:id="15" w:name="_Toc245621872"/>
      <w:r>
        <w:lastRenderedPageBreak/>
        <w:t>Transit</w:t>
      </w:r>
      <w:bookmarkEnd w:id="15"/>
    </w:p>
    <w:p w:rsidR="0002502F" w:rsidRDefault="0002502F" w:rsidP="0002502F">
      <w:pPr>
        <w:pStyle w:val="Heading3"/>
      </w:pPr>
      <w:bookmarkStart w:id="16" w:name="_Toc245621873"/>
      <w:r>
        <w:t>Overview</w:t>
      </w:r>
      <w:bookmarkEnd w:id="16"/>
    </w:p>
    <w:p w:rsidR="0002502F" w:rsidRDefault="0002502F" w:rsidP="0002502F">
      <w:pPr>
        <w:pStyle w:val="BodyText"/>
      </w:pPr>
      <w:r>
        <w:t xml:space="preserve">Whatcom Transportation Authority (WTA) is the primary provider of public transportation services in Whatcom County. WTA provides fixed-route bus service in Bellingham and throughout Whatcom County. Complementary paratransit service is offered in conjunction with broader senior and disabled service under the Specialized Transportation program. WTA also offers vanpool leasing, ride matching and commuter van service from selected markets. </w:t>
      </w:r>
    </w:p>
    <w:p w:rsidR="0002502F" w:rsidRDefault="0002502F" w:rsidP="0002502F">
      <w:pPr>
        <w:pStyle w:val="Heading3"/>
      </w:pPr>
      <w:bookmarkStart w:id="17" w:name="_Toc245621874"/>
      <w:r>
        <w:t>Inventory of Current Facilities</w:t>
      </w:r>
      <w:bookmarkEnd w:id="17"/>
    </w:p>
    <w:p w:rsidR="0002502F" w:rsidRDefault="0002502F" w:rsidP="0002502F">
      <w:pPr>
        <w:pStyle w:val="BodyText"/>
      </w:pPr>
      <w:r>
        <w:t xml:space="preserve">The WTA operates 30 fixed routes </w:t>
      </w:r>
      <w:r w:rsidRPr="00B55C0D">
        <w:t xml:space="preserve">with </w:t>
      </w:r>
      <w:r w:rsidR="001A43B3" w:rsidRPr="00B55C0D">
        <w:t>59</w:t>
      </w:r>
      <w:r w:rsidRPr="00B55C0D">
        <w:t xml:space="preserve"> transit coaches (primarily 35- and 40-foot </w:t>
      </w:r>
      <w:r w:rsidR="001A43B3" w:rsidRPr="00B55C0D">
        <w:t>Gillig</w:t>
      </w:r>
      <w:r w:rsidRPr="00B55C0D">
        <w:t xml:space="preserve"> buses). Paratransit service is provided by 34 mini-buses with a capacity to carry 16 passengers each. WTA owns and manages a fleet of 3</w:t>
      </w:r>
      <w:r w:rsidR="001A43B3" w:rsidRPr="00B55C0D">
        <w:t>9</w:t>
      </w:r>
      <w:r w:rsidRPr="00B55C0D">
        <w:t xml:space="preserve"> va</w:t>
      </w:r>
      <w:r>
        <w:t xml:space="preserve">ns for its two commuter van services. Table </w:t>
      </w:r>
      <w:r w:rsidR="001675D0">
        <w:t>9-5</w:t>
      </w:r>
      <w:r>
        <w:t xml:space="preserve"> below summarizes the park &amp; ride facilities that WTA serves along with routes that serve them.</w:t>
      </w:r>
    </w:p>
    <w:p w:rsidR="0002502F" w:rsidRDefault="0002502F" w:rsidP="0002502F">
      <w:pPr>
        <w:pStyle w:val="Caption"/>
      </w:pPr>
      <w:bookmarkStart w:id="18" w:name="_Toc245621973"/>
      <w:r>
        <w:t xml:space="preserve">Table </w:t>
      </w:r>
      <w:r w:rsidR="001A43B3">
        <w:t>9-5</w:t>
      </w:r>
      <w:r>
        <w:t>.</w:t>
      </w:r>
      <w:r>
        <w:tab/>
        <w:t>Whatcom Transportation Authority Park &amp; Ride Facilities</w:t>
      </w:r>
      <w:bookmarkEnd w:id="18"/>
    </w:p>
    <w:tbl>
      <w:tblPr>
        <w:tblW w:w="8410" w:type="dxa"/>
        <w:tblInd w:w="108" w:type="dxa"/>
        <w:tblBorders>
          <w:top w:val="single" w:sz="4" w:space="0" w:color="003366"/>
          <w:bottom w:val="single" w:sz="4" w:space="0" w:color="003366"/>
          <w:insideH w:val="single" w:sz="4" w:space="0" w:color="003366"/>
        </w:tblBorders>
        <w:tblCellMar>
          <w:left w:w="115" w:type="dxa"/>
          <w:right w:w="115" w:type="dxa"/>
        </w:tblCellMar>
        <w:tblLook w:val="0000" w:firstRow="0" w:lastRow="0" w:firstColumn="0" w:lastColumn="0" w:noHBand="0" w:noVBand="0"/>
      </w:tblPr>
      <w:tblGrid>
        <w:gridCol w:w="1980"/>
        <w:gridCol w:w="3337"/>
        <w:gridCol w:w="1762"/>
        <w:gridCol w:w="1331"/>
      </w:tblGrid>
      <w:tr w:rsidR="0002502F" w:rsidTr="00B55C0D">
        <w:trPr>
          <w:trHeight w:val="285"/>
        </w:trPr>
        <w:tc>
          <w:tcPr>
            <w:tcW w:w="1980" w:type="dxa"/>
            <w:noWrap/>
          </w:tcPr>
          <w:p w:rsidR="0002502F" w:rsidRDefault="0002502F" w:rsidP="0002502F">
            <w:pPr>
              <w:pStyle w:val="TableHeader"/>
              <w:jc w:val="left"/>
            </w:pPr>
            <w:r>
              <w:t>Park &amp; Ride</w:t>
            </w:r>
          </w:p>
        </w:tc>
        <w:tc>
          <w:tcPr>
            <w:tcW w:w="3337" w:type="dxa"/>
            <w:noWrap/>
          </w:tcPr>
          <w:p w:rsidR="0002502F" w:rsidRDefault="0002502F" w:rsidP="0002502F">
            <w:pPr>
              <w:pStyle w:val="TableHeader"/>
              <w:jc w:val="left"/>
            </w:pPr>
            <w:r>
              <w:t>Location</w:t>
            </w:r>
          </w:p>
        </w:tc>
        <w:tc>
          <w:tcPr>
            <w:tcW w:w="1762" w:type="dxa"/>
            <w:noWrap/>
          </w:tcPr>
          <w:p w:rsidR="0002502F" w:rsidRDefault="0002502F" w:rsidP="0002502F">
            <w:pPr>
              <w:pStyle w:val="TableHeader"/>
              <w:jc w:val="left"/>
            </w:pPr>
            <w:r>
              <w:t>Served by Routes</w:t>
            </w:r>
          </w:p>
        </w:tc>
        <w:tc>
          <w:tcPr>
            <w:tcW w:w="1331" w:type="dxa"/>
          </w:tcPr>
          <w:p w:rsidR="0002502F" w:rsidRDefault="0002502F" w:rsidP="0002502F">
            <w:pPr>
              <w:pStyle w:val="TableHeader"/>
              <w:jc w:val="left"/>
            </w:pPr>
            <w:r>
              <w:t>Number of Parking Stalls</w:t>
            </w:r>
          </w:p>
        </w:tc>
      </w:tr>
      <w:tr w:rsidR="0002502F" w:rsidTr="00B55C0D">
        <w:trPr>
          <w:trHeight w:val="285"/>
        </w:trPr>
        <w:tc>
          <w:tcPr>
            <w:tcW w:w="1980" w:type="dxa"/>
            <w:tcBorders>
              <w:bottom w:val="single" w:sz="2" w:space="0" w:color="003366"/>
            </w:tcBorders>
            <w:noWrap/>
          </w:tcPr>
          <w:p w:rsidR="0002502F" w:rsidRDefault="0002502F" w:rsidP="0002502F">
            <w:pPr>
              <w:pStyle w:val="TableText"/>
            </w:pPr>
            <w:r>
              <w:t>Cordata Station</w:t>
            </w:r>
          </w:p>
        </w:tc>
        <w:tc>
          <w:tcPr>
            <w:tcW w:w="3337" w:type="dxa"/>
            <w:tcBorders>
              <w:bottom w:val="single" w:sz="2" w:space="0" w:color="003366"/>
            </w:tcBorders>
            <w:noWrap/>
          </w:tcPr>
          <w:p w:rsidR="0002502F" w:rsidRDefault="0002502F" w:rsidP="0002502F">
            <w:pPr>
              <w:pStyle w:val="TableText"/>
            </w:pPr>
            <w:r>
              <w:t>4170 Cordata Parkway</w:t>
            </w:r>
          </w:p>
        </w:tc>
        <w:tc>
          <w:tcPr>
            <w:tcW w:w="1762" w:type="dxa"/>
            <w:tcBorders>
              <w:bottom w:val="single" w:sz="2" w:space="0" w:color="003366"/>
            </w:tcBorders>
            <w:noWrap/>
          </w:tcPr>
          <w:p w:rsidR="0002502F" w:rsidRDefault="0002502F" w:rsidP="0002502F">
            <w:pPr>
              <w:pStyle w:val="TableText"/>
            </w:pPr>
            <w:r>
              <w:t>3,4,15,24,25X,26,27</w:t>
            </w:r>
          </w:p>
          <w:p w:rsidR="0002502F" w:rsidRDefault="0002502F" w:rsidP="0002502F">
            <w:pPr>
              <w:pStyle w:val="TableText"/>
            </w:pPr>
            <w:r>
              <w:t>48,55,71X,232,331</w:t>
            </w:r>
          </w:p>
        </w:tc>
        <w:tc>
          <w:tcPr>
            <w:tcW w:w="1331" w:type="dxa"/>
            <w:tcBorders>
              <w:bottom w:val="single" w:sz="2" w:space="0" w:color="003366"/>
            </w:tcBorders>
          </w:tcPr>
          <w:p w:rsidR="0002502F" w:rsidRDefault="0002502F" w:rsidP="0002502F">
            <w:pPr>
              <w:pStyle w:val="TableText"/>
            </w:pPr>
            <w:r>
              <w:t>70</w:t>
            </w:r>
          </w:p>
        </w:tc>
      </w:tr>
      <w:tr w:rsidR="0002502F" w:rsidTr="00B55C0D">
        <w:trPr>
          <w:trHeight w:val="285"/>
        </w:trPr>
        <w:tc>
          <w:tcPr>
            <w:tcW w:w="1980" w:type="dxa"/>
            <w:tcBorders>
              <w:bottom w:val="single" w:sz="2" w:space="0" w:color="003366"/>
            </w:tcBorders>
            <w:noWrap/>
          </w:tcPr>
          <w:p w:rsidR="0002502F" w:rsidRDefault="0002502F" w:rsidP="0002502F">
            <w:pPr>
              <w:pStyle w:val="TableText"/>
            </w:pPr>
            <w:r>
              <w:t xml:space="preserve">Chuckanut </w:t>
            </w:r>
          </w:p>
        </w:tc>
        <w:tc>
          <w:tcPr>
            <w:tcW w:w="3337" w:type="dxa"/>
            <w:tcBorders>
              <w:bottom w:val="single" w:sz="2" w:space="0" w:color="003366"/>
            </w:tcBorders>
            <w:noWrap/>
          </w:tcPr>
          <w:p w:rsidR="0002502F" w:rsidRDefault="0002502F" w:rsidP="0002502F">
            <w:pPr>
              <w:pStyle w:val="TableText"/>
            </w:pPr>
            <w:r>
              <w:t>999 N. Burlington Rd.</w:t>
            </w:r>
          </w:p>
        </w:tc>
        <w:tc>
          <w:tcPr>
            <w:tcW w:w="1762" w:type="dxa"/>
            <w:tcBorders>
              <w:bottom w:val="single" w:sz="2" w:space="0" w:color="003366"/>
            </w:tcBorders>
            <w:noWrap/>
          </w:tcPr>
          <w:p w:rsidR="0002502F" w:rsidRDefault="0002502F" w:rsidP="0002502F">
            <w:pPr>
              <w:pStyle w:val="TableText"/>
            </w:pPr>
            <w:r>
              <w:t>80X</w:t>
            </w:r>
          </w:p>
        </w:tc>
        <w:tc>
          <w:tcPr>
            <w:tcW w:w="1331" w:type="dxa"/>
            <w:tcBorders>
              <w:bottom w:val="single" w:sz="2" w:space="0" w:color="003366"/>
            </w:tcBorders>
          </w:tcPr>
          <w:p w:rsidR="0002502F" w:rsidRDefault="0002502F" w:rsidP="0002502F">
            <w:pPr>
              <w:pStyle w:val="TableText"/>
            </w:pPr>
            <w:r>
              <w:t>369</w:t>
            </w:r>
          </w:p>
        </w:tc>
      </w:tr>
      <w:tr w:rsidR="0002502F" w:rsidTr="00B55C0D">
        <w:trPr>
          <w:trHeight w:val="285"/>
        </w:trPr>
        <w:tc>
          <w:tcPr>
            <w:tcW w:w="1980" w:type="dxa"/>
            <w:tcBorders>
              <w:bottom w:val="single" w:sz="2" w:space="0" w:color="003366"/>
            </w:tcBorders>
            <w:noWrap/>
          </w:tcPr>
          <w:p w:rsidR="0002502F" w:rsidRDefault="0002502F" w:rsidP="0002502F">
            <w:pPr>
              <w:pStyle w:val="TableText"/>
            </w:pPr>
            <w:r>
              <w:t>Alger</w:t>
            </w:r>
          </w:p>
        </w:tc>
        <w:tc>
          <w:tcPr>
            <w:tcW w:w="3337" w:type="dxa"/>
            <w:tcBorders>
              <w:bottom w:val="single" w:sz="2" w:space="0" w:color="003366"/>
            </w:tcBorders>
            <w:noWrap/>
          </w:tcPr>
          <w:p w:rsidR="0002502F" w:rsidRDefault="0002502F" w:rsidP="0002502F">
            <w:pPr>
              <w:pStyle w:val="TableText"/>
            </w:pPr>
            <w:r>
              <w:t>Lake Samish Rd.</w:t>
            </w:r>
          </w:p>
        </w:tc>
        <w:tc>
          <w:tcPr>
            <w:tcW w:w="1762" w:type="dxa"/>
            <w:tcBorders>
              <w:bottom w:val="single" w:sz="2" w:space="0" w:color="003366"/>
            </w:tcBorders>
            <w:noWrap/>
          </w:tcPr>
          <w:p w:rsidR="0002502F" w:rsidRDefault="0002502F" w:rsidP="0002502F">
            <w:pPr>
              <w:pStyle w:val="TableText"/>
            </w:pPr>
            <w:r>
              <w:t>80X</w:t>
            </w:r>
          </w:p>
        </w:tc>
        <w:tc>
          <w:tcPr>
            <w:tcW w:w="1331" w:type="dxa"/>
            <w:tcBorders>
              <w:bottom w:val="single" w:sz="2" w:space="0" w:color="003366"/>
            </w:tcBorders>
          </w:tcPr>
          <w:p w:rsidR="0002502F" w:rsidRDefault="0002502F" w:rsidP="0002502F">
            <w:pPr>
              <w:pStyle w:val="TableText"/>
            </w:pPr>
            <w:r>
              <w:t>54</w:t>
            </w:r>
          </w:p>
        </w:tc>
      </w:tr>
      <w:tr w:rsidR="0002502F" w:rsidTr="00B55C0D">
        <w:trPr>
          <w:trHeight w:val="285"/>
        </w:trPr>
        <w:tc>
          <w:tcPr>
            <w:tcW w:w="1980" w:type="dxa"/>
            <w:tcBorders>
              <w:bottom w:val="single" w:sz="2" w:space="0" w:color="003366"/>
            </w:tcBorders>
            <w:noWrap/>
          </w:tcPr>
          <w:p w:rsidR="0002502F" w:rsidRDefault="0002502F" w:rsidP="0002502F">
            <w:pPr>
              <w:pStyle w:val="TableText"/>
            </w:pPr>
            <w:r>
              <w:t>Ferndale Station</w:t>
            </w:r>
          </w:p>
        </w:tc>
        <w:tc>
          <w:tcPr>
            <w:tcW w:w="3337" w:type="dxa"/>
            <w:tcBorders>
              <w:bottom w:val="single" w:sz="2" w:space="0" w:color="003366"/>
            </w:tcBorders>
            <w:noWrap/>
          </w:tcPr>
          <w:p w:rsidR="0002502F" w:rsidRDefault="0002502F" w:rsidP="0002502F">
            <w:pPr>
              <w:pStyle w:val="TableText"/>
            </w:pPr>
            <w:r>
              <w:t>1671 Main Street</w:t>
            </w:r>
          </w:p>
        </w:tc>
        <w:tc>
          <w:tcPr>
            <w:tcW w:w="1762" w:type="dxa"/>
            <w:tcBorders>
              <w:bottom w:val="single" w:sz="2" w:space="0" w:color="003366"/>
            </w:tcBorders>
            <w:noWrap/>
          </w:tcPr>
          <w:p w:rsidR="0002502F" w:rsidRDefault="0002502F" w:rsidP="0002502F">
            <w:pPr>
              <w:pStyle w:val="TableText"/>
            </w:pPr>
            <w:r>
              <w:t>27, 70X, 55</w:t>
            </w:r>
          </w:p>
        </w:tc>
        <w:tc>
          <w:tcPr>
            <w:tcW w:w="1331" w:type="dxa"/>
            <w:tcBorders>
              <w:bottom w:val="single" w:sz="2" w:space="0" w:color="003366"/>
            </w:tcBorders>
          </w:tcPr>
          <w:p w:rsidR="0002502F" w:rsidRDefault="0002502F" w:rsidP="0002502F">
            <w:pPr>
              <w:pStyle w:val="TableText"/>
            </w:pPr>
            <w:r>
              <w:t>131</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South Bellingham East</w:t>
            </w:r>
          </w:p>
        </w:tc>
        <w:tc>
          <w:tcPr>
            <w:tcW w:w="3337" w:type="dxa"/>
            <w:tcBorders>
              <w:top w:val="single" w:sz="2" w:space="0" w:color="003366"/>
              <w:bottom w:val="single" w:sz="2" w:space="0" w:color="003366"/>
            </w:tcBorders>
            <w:noWrap/>
          </w:tcPr>
          <w:p w:rsidR="0002502F" w:rsidRDefault="0002502F" w:rsidP="0002502F">
            <w:pPr>
              <w:pStyle w:val="TableText"/>
            </w:pPr>
            <w:r>
              <w:t>I-5 and Old Fairhaven Parkway (Exit 250 East side)</w:t>
            </w:r>
          </w:p>
        </w:tc>
        <w:tc>
          <w:tcPr>
            <w:tcW w:w="1762" w:type="dxa"/>
            <w:tcBorders>
              <w:top w:val="single" w:sz="2" w:space="0" w:color="003366"/>
              <w:bottom w:val="single" w:sz="2" w:space="0" w:color="003366"/>
            </w:tcBorders>
            <w:noWrap/>
          </w:tcPr>
          <w:p w:rsidR="0002502F" w:rsidRDefault="0002502F" w:rsidP="0002502F">
            <w:pPr>
              <w:pStyle w:val="TableText"/>
            </w:pPr>
            <w:r>
              <w:t>105</w:t>
            </w:r>
          </w:p>
        </w:tc>
        <w:tc>
          <w:tcPr>
            <w:tcW w:w="1331" w:type="dxa"/>
            <w:tcBorders>
              <w:top w:val="single" w:sz="2" w:space="0" w:color="003366"/>
              <w:bottom w:val="single" w:sz="2" w:space="0" w:color="003366"/>
            </w:tcBorders>
          </w:tcPr>
          <w:p w:rsidR="0002502F" w:rsidRDefault="0002502F" w:rsidP="0002502F">
            <w:pPr>
              <w:pStyle w:val="TableText"/>
            </w:pPr>
            <w:r>
              <w:t>29</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South Bellingham West</w:t>
            </w:r>
          </w:p>
        </w:tc>
        <w:tc>
          <w:tcPr>
            <w:tcW w:w="3337" w:type="dxa"/>
            <w:tcBorders>
              <w:top w:val="single" w:sz="2" w:space="0" w:color="003366"/>
              <w:bottom w:val="single" w:sz="2" w:space="0" w:color="003366"/>
            </w:tcBorders>
            <w:noWrap/>
          </w:tcPr>
          <w:p w:rsidR="0002502F" w:rsidRDefault="0002502F" w:rsidP="0002502F">
            <w:pPr>
              <w:pStyle w:val="TableText"/>
            </w:pPr>
            <w:r>
              <w:t>I-5 and Old Fairhaven Parkway (Exit 250 West side)</w:t>
            </w:r>
          </w:p>
        </w:tc>
        <w:tc>
          <w:tcPr>
            <w:tcW w:w="1762" w:type="dxa"/>
            <w:tcBorders>
              <w:top w:val="single" w:sz="2" w:space="0" w:color="003366"/>
              <w:bottom w:val="single" w:sz="2" w:space="0" w:color="003366"/>
            </w:tcBorders>
            <w:noWrap/>
          </w:tcPr>
          <w:p w:rsidR="0002502F" w:rsidRDefault="0002502F" w:rsidP="0002502F">
            <w:pPr>
              <w:pStyle w:val="TableText"/>
            </w:pPr>
            <w:r>
              <w:t>105</w:t>
            </w:r>
          </w:p>
        </w:tc>
        <w:tc>
          <w:tcPr>
            <w:tcW w:w="1331" w:type="dxa"/>
            <w:tcBorders>
              <w:top w:val="single" w:sz="2" w:space="0" w:color="003366"/>
              <w:bottom w:val="single" w:sz="2" w:space="0" w:color="003366"/>
            </w:tcBorders>
          </w:tcPr>
          <w:p w:rsidR="0002502F" w:rsidRDefault="0002502F" w:rsidP="0002502F">
            <w:pPr>
              <w:pStyle w:val="TableText"/>
            </w:pPr>
            <w:r>
              <w:t>24</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Lynden Station</w:t>
            </w:r>
          </w:p>
        </w:tc>
        <w:tc>
          <w:tcPr>
            <w:tcW w:w="3337" w:type="dxa"/>
            <w:tcBorders>
              <w:top w:val="single" w:sz="2" w:space="0" w:color="003366"/>
              <w:bottom w:val="single" w:sz="2" w:space="0" w:color="003366"/>
            </w:tcBorders>
            <w:noWrap/>
          </w:tcPr>
          <w:p w:rsidR="0002502F" w:rsidRDefault="0002502F" w:rsidP="0002502F">
            <w:pPr>
              <w:pStyle w:val="TableText"/>
            </w:pPr>
            <w:r>
              <w:t>1945 Front Street</w:t>
            </w:r>
          </w:p>
        </w:tc>
        <w:tc>
          <w:tcPr>
            <w:tcW w:w="1762" w:type="dxa"/>
            <w:tcBorders>
              <w:top w:val="single" w:sz="2" w:space="0" w:color="003366"/>
              <w:bottom w:val="single" w:sz="2" w:space="0" w:color="003366"/>
            </w:tcBorders>
            <w:noWrap/>
          </w:tcPr>
          <w:p w:rsidR="0002502F" w:rsidRDefault="0002502F" w:rsidP="0002502F">
            <w:pPr>
              <w:pStyle w:val="TableText"/>
            </w:pPr>
            <w:r>
              <w:t>26, 25X</w:t>
            </w:r>
          </w:p>
        </w:tc>
        <w:tc>
          <w:tcPr>
            <w:tcW w:w="1331" w:type="dxa"/>
            <w:tcBorders>
              <w:top w:val="single" w:sz="2" w:space="0" w:color="003366"/>
              <w:bottom w:val="single" w:sz="2" w:space="0" w:color="003366"/>
            </w:tcBorders>
          </w:tcPr>
          <w:p w:rsidR="0002502F" w:rsidRDefault="0002502F" w:rsidP="0002502F">
            <w:pPr>
              <w:pStyle w:val="TableText"/>
            </w:pPr>
            <w:r>
              <w:t>89</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Northwest Avenue</w:t>
            </w:r>
          </w:p>
        </w:tc>
        <w:tc>
          <w:tcPr>
            <w:tcW w:w="3337" w:type="dxa"/>
            <w:tcBorders>
              <w:top w:val="single" w:sz="2" w:space="0" w:color="003366"/>
              <w:bottom w:val="single" w:sz="2" w:space="0" w:color="003366"/>
            </w:tcBorders>
            <w:noWrap/>
          </w:tcPr>
          <w:p w:rsidR="0002502F" w:rsidRDefault="0002502F" w:rsidP="0002502F">
            <w:pPr>
              <w:pStyle w:val="TableText"/>
            </w:pPr>
            <w:r>
              <w:t>East of Northwest on McLeod Rd.</w:t>
            </w:r>
          </w:p>
        </w:tc>
        <w:tc>
          <w:tcPr>
            <w:tcW w:w="1762" w:type="dxa"/>
            <w:tcBorders>
              <w:top w:val="single" w:sz="2" w:space="0" w:color="003366"/>
              <w:bottom w:val="single" w:sz="2" w:space="0" w:color="003366"/>
            </w:tcBorders>
            <w:noWrap/>
          </w:tcPr>
          <w:p w:rsidR="0002502F" w:rsidRDefault="0002502F" w:rsidP="0002502F">
            <w:pPr>
              <w:pStyle w:val="TableText"/>
            </w:pPr>
            <w:r>
              <w:t>232</w:t>
            </w:r>
          </w:p>
        </w:tc>
        <w:tc>
          <w:tcPr>
            <w:tcW w:w="1331" w:type="dxa"/>
            <w:tcBorders>
              <w:top w:val="single" w:sz="2" w:space="0" w:color="003366"/>
              <w:bottom w:val="single" w:sz="2" w:space="0" w:color="003366"/>
            </w:tcBorders>
          </w:tcPr>
          <w:p w:rsidR="0002502F" w:rsidRDefault="0002502F" w:rsidP="0002502F">
            <w:pPr>
              <w:pStyle w:val="TableText"/>
            </w:pPr>
            <w:r>
              <w:t>(Not listed)</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Birch Bay Square</w:t>
            </w:r>
          </w:p>
        </w:tc>
        <w:tc>
          <w:tcPr>
            <w:tcW w:w="3337" w:type="dxa"/>
            <w:tcBorders>
              <w:top w:val="single" w:sz="2" w:space="0" w:color="003366"/>
              <w:bottom w:val="single" w:sz="2" w:space="0" w:color="003366"/>
            </w:tcBorders>
            <w:noWrap/>
          </w:tcPr>
          <w:p w:rsidR="0002502F" w:rsidRDefault="0002502F" w:rsidP="0002502F">
            <w:pPr>
              <w:pStyle w:val="TableText"/>
            </w:pPr>
            <w:r>
              <w:t>8115 Birch Bay Square St.</w:t>
            </w:r>
          </w:p>
        </w:tc>
        <w:tc>
          <w:tcPr>
            <w:tcW w:w="1762" w:type="dxa"/>
            <w:tcBorders>
              <w:top w:val="single" w:sz="2" w:space="0" w:color="003366"/>
              <w:bottom w:val="single" w:sz="2" w:space="0" w:color="003366"/>
            </w:tcBorders>
            <w:noWrap/>
          </w:tcPr>
          <w:p w:rsidR="0002502F" w:rsidRDefault="0002502F" w:rsidP="0002502F">
            <w:pPr>
              <w:pStyle w:val="TableText"/>
            </w:pPr>
            <w:r>
              <w:t>70X, 55</w:t>
            </w:r>
          </w:p>
        </w:tc>
        <w:tc>
          <w:tcPr>
            <w:tcW w:w="1331" w:type="dxa"/>
            <w:tcBorders>
              <w:top w:val="single" w:sz="2" w:space="0" w:color="003366"/>
              <w:bottom w:val="single" w:sz="2" w:space="0" w:color="003366"/>
            </w:tcBorders>
          </w:tcPr>
          <w:p w:rsidR="0002502F" w:rsidRDefault="0002502F" w:rsidP="0002502F">
            <w:pPr>
              <w:pStyle w:val="TableText"/>
            </w:pPr>
            <w:r>
              <w:t>10</w:t>
            </w:r>
          </w:p>
        </w:tc>
      </w:tr>
      <w:tr w:rsidR="0002502F" w:rsidTr="00B55C0D">
        <w:trPr>
          <w:trHeight w:val="285"/>
        </w:trPr>
        <w:tc>
          <w:tcPr>
            <w:tcW w:w="1980" w:type="dxa"/>
            <w:tcBorders>
              <w:top w:val="single" w:sz="2" w:space="0" w:color="003366"/>
              <w:bottom w:val="single" w:sz="2" w:space="0" w:color="003366"/>
            </w:tcBorders>
            <w:noWrap/>
          </w:tcPr>
          <w:p w:rsidR="0002502F" w:rsidRDefault="0002502F" w:rsidP="0002502F">
            <w:pPr>
              <w:pStyle w:val="TableText"/>
            </w:pPr>
            <w:r>
              <w:t>Blaine Library</w:t>
            </w:r>
          </w:p>
        </w:tc>
        <w:tc>
          <w:tcPr>
            <w:tcW w:w="3337" w:type="dxa"/>
            <w:tcBorders>
              <w:top w:val="single" w:sz="2" w:space="0" w:color="003366"/>
              <w:bottom w:val="single" w:sz="2" w:space="0" w:color="003366"/>
            </w:tcBorders>
            <w:noWrap/>
          </w:tcPr>
          <w:p w:rsidR="0002502F" w:rsidRDefault="0002502F" w:rsidP="0002502F">
            <w:pPr>
              <w:pStyle w:val="TableText"/>
            </w:pPr>
            <w:r>
              <w:t>3rd and G Street</w:t>
            </w:r>
          </w:p>
        </w:tc>
        <w:tc>
          <w:tcPr>
            <w:tcW w:w="1762" w:type="dxa"/>
            <w:tcBorders>
              <w:top w:val="single" w:sz="2" w:space="0" w:color="003366"/>
              <w:bottom w:val="single" w:sz="2" w:space="0" w:color="003366"/>
            </w:tcBorders>
            <w:noWrap/>
          </w:tcPr>
          <w:p w:rsidR="0002502F" w:rsidRDefault="0002502F" w:rsidP="0002502F">
            <w:pPr>
              <w:pStyle w:val="TableText"/>
            </w:pPr>
            <w:r>
              <w:t>70X, 55</w:t>
            </w:r>
          </w:p>
        </w:tc>
        <w:tc>
          <w:tcPr>
            <w:tcW w:w="1331" w:type="dxa"/>
            <w:tcBorders>
              <w:top w:val="single" w:sz="2" w:space="0" w:color="003366"/>
              <w:bottom w:val="single" w:sz="2" w:space="0" w:color="003366"/>
            </w:tcBorders>
          </w:tcPr>
          <w:p w:rsidR="0002502F" w:rsidRDefault="0002502F" w:rsidP="0002502F">
            <w:pPr>
              <w:pStyle w:val="TableText"/>
            </w:pPr>
            <w:r>
              <w:t>10</w:t>
            </w:r>
          </w:p>
        </w:tc>
      </w:tr>
      <w:tr w:rsidR="0002502F" w:rsidTr="00B55C0D">
        <w:trPr>
          <w:trHeight w:val="300"/>
        </w:trPr>
        <w:tc>
          <w:tcPr>
            <w:tcW w:w="1980" w:type="dxa"/>
            <w:tcBorders>
              <w:top w:val="single" w:sz="2" w:space="0" w:color="003366"/>
              <w:bottom w:val="single" w:sz="2" w:space="0" w:color="003366"/>
            </w:tcBorders>
            <w:noWrap/>
          </w:tcPr>
          <w:p w:rsidR="0002502F" w:rsidRDefault="0002502F" w:rsidP="0002502F">
            <w:pPr>
              <w:pStyle w:val="TableText"/>
            </w:pPr>
            <w:r>
              <w:t>Lincoln Creek</w:t>
            </w:r>
          </w:p>
        </w:tc>
        <w:tc>
          <w:tcPr>
            <w:tcW w:w="3337" w:type="dxa"/>
            <w:tcBorders>
              <w:top w:val="single" w:sz="2" w:space="0" w:color="003366"/>
              <w:bottom w:val="single" w:sz="2" w:space="0" w:color="003366"/>
            </w:tcBorders>
            <w:noWrap/>
          </w:tcPr>
          <w:p w:rsidR="0002502F" w:rsidRDefault="0002502F" w:rsidP="0002502F">
            <w:pPr>
              <w:pStyle w:val="TableText"/>
            </w:pPr>
            <w:r>
              <w:t>Lincoln Street, north of I-5 on-ramp</w:t>
            </w:r>
          </w:p>
        </w:tc>
        <w:tc>
          <w:tcPr>
            <w:tcW w:w="1762" w:type="dxa"/>
            <w:tcBorders>
              <w:top w:val="single" w:sz="2" w:space="0" w:color="003366"/>
              <w:bottom w:val="single" w:sz="2" w:space="0" w:color="003366"/>
            </w:tcBorders>
            <w:noWrap/>
          </w:tcPr>
          <w:p w:rsidR="0002502F" w:rsidRDefault="0002502F" w:rsidP="0002502F">
            <w:pPr>
              <w:pStyle w:val="TableText"/>
            </w:pPr>
            <w:r>
              <w:t>80X, 90A&amp;B, 190</w:t>
            </w:r>
          </w:p>
        </w:tc>
        <w:tc>
          <w:tcPr>
            <w:tcW w:w="1331" w:type="dxa"/>
            <w:tcBorders>
              <w:top w:val="single" w:sz="2" w:space="0" w:color="003366"/>
              <w:bottom w:val="single" w:sz="2" w:space="0" w:color="003366"/>
            </w:tcBorders>
          </w:tcPr>
          <w:p w:rsidR="0002502F" w:rsidRDefault="0002502F" w:rsidP="0002502F">
            <w:pPr>
              <w:pStyle w:val="TableText"/>
            </w:pPr>
            <w:r>
              <w:t>530</w:t>
            </w:r>
          </w:p>
        </w:tc>
      </w:tr>
      <w:tr w:rsidR="0002502F" w:rsidTr="00B55C0D">
        <w:trPr>
          <w:trHeight w:val="300"/>
        </w:trPr>
        <w:tc>
          <w:tcPr>
            <w:tcW w:w="1980" w:type="dxa"/>
            <w:tcBorders>
              <w:top w:val="single" w:sz="2" w:space="0" w:color="003366"/>
              <w:bottom w:val="single" w:sz="2" w:space="0" w:color="003366"/>
            </w:tcBorders>
            <w:noWrap/>
          </w:tcPr>
          <w:p w:rsidR="0002502F" w:rsidRDefault="0002502F" w:rsidP="0002502F">
            <w:pPr>
              <w:pStyle w:val="TableText"/>
            </w:pPr>
            <w:r>
              <w:t>Fairhaven Park &amp; Ride</w:t>
            </w:r>
          </w:p>
        </w:tc>
        <w:tc>
          <w:tcPr>
            <w:tcW w:w="3337" w:type="dxa"/>
            <w:tcBorders>
              <w:top w:val="single" w:sz="2" w:space="0" w:color="003366"/>
              <w:bottom w:val="single" w:sz="2" w:space="0" w:color="003366"/>
            </w:tcBorders>
            <w:noWrap/>
          </w:tcPr>
          <w:p w:rsidR="0002502F" w:rsidRDefault="0002502F" w:rsidP="0002502F">
            <w:pPr>
              <w:pStyle w:val="TableText"/>
            </w:pPr>
            <w:r>
              <w:t>Harris and 4</w:t>
            </w:r>
            <w:r>
              <w:rPr>
                <w:vertAlign w:val="superscript"/>
              </w:rPr>
              <w:t>th</w:t>
            </w:r>
          </w:p>
        </w:tc>
        <w:tc>
          <w:tcPr>
            <w:tcW w:w="1762" w:type="dxa"/>
            <w:tcBorders>
              <w:top w:val="single" w:sz="2" w:space="0" w:color="003366"/>
              <w:bottom w:val="single" w:sz="2" w:space="0" w:color="003366"/>
            </w:tcBorders>
            <w:noWrap/>
          </w:tcPr>
          <w:p w:rsidR="0002502F" w:rsidRDefault="0002502F" w:rsidP="0002502F">
            <w:pPr>
              <w:pStyle w:val="TableText"/>
            </w:pPr>
            <w:r>
              <w:t>(Not listed)</w:t>
            </w:r>
          </w:p>
        </w:tc>
        <w:tc>
          <w:tcPr>
            <w:tcW w:w="1331" w:type="dxa"/>
            <w:tcBorders>
              <w:top w:val="single" w:sz="2" w:space="0" w:color="003366"/>
              <w:bottom w:val="single" w:sz="2" w:space="0" w:color="003366"/>
            </w:tcBorders>
          </w:tcPr>
          <w:p w:rsidR="0002502F" w:rsidRDefault="0002502F" w:rsidP="0002502F">
            <w:pPr>
              <w:pStyle w:val="TableText"/>
            </w:pPr>
            <w:r>
              <w:t>237</w:t>
            </w:r>
          </w:p>
        </w:tc>
      </w:tr>
      <w:tr w:rsidR="0002502F" w:rsidTr="00B55C0D">
        <w:trPr>
          <w:trHeight w:val="300"/>
        </w:trPr>
        <w:tc>
          <w:tcPr>
            <w:tcW w:w="1980" w:type="dxa"/>
            <w:tcBorders>
              <w:top w:val="single" w:sz="2" w:space="0" w:color="003366"/>
            </w:tcBorders>
            <w:noWrap/>
          </w:tcPr>
          <w:p w:rsidR="0002502F" w:rsidRDefault="0002502F" w:rsidP="0002502F">
            <w:pPr>
              <w:pStyle w:val="TableText"/>
            </w:pPr>
            <w:r>
              <w:t>Blaine Library</w:t>
            </w:r>
          </w:p>
        </w:tc>
        <w:tc>
          <w:tcPr>
            <w:tcW w:w="3337" w:type="dxa"/>
            <w:tcBorders>
              <w:top w:val="single" w:sz="2" w:space="0" w:color="003366"/>
            </w:tcBorders>
            <w:noWrap/>
          </w:tcPr>
          <w:p w:rsidR="0002502F" w:rsidRDefault="0002502F" w:rsidP="0002502F">
            <w:pPr>
              <w:pStyle w:val="TableText"/>
            </w:pPr>
            <w:r>
              <w:t>3</w:t>
            </w:r>
            <w:r>
              <w:rPr>
                <w:vertAlign w:val="superscript"/>
              </w:rPr>
              <w:t>rd</w:t>
            </w:r>
            <w:r>
              <w:t xml:space="preserve"> and G Street</w:t>
            </w:r>
          </w:p>
        </w:tc>
        <w:tc>
          <w:tcPr>
            <w:tcW w:w="1762" w:type="dxa"/>
            <w:tcBorders>
              <w:top w:val="single" w:sz="2" w:space="0" w:color="003366"/>
            </w:tcBorders>
            <w:noWrap/>
          </w:tcPr>
          <w:p w:rsidR="0002502F" w:rsidRDefault="0002502F" w:rsidP="0002502F">
            <w:pPr>
              <w:pStyle w:val="TableText"/>
            </w:pPr>
            <w:r>
              <w:t>(Not listed)</w:t>
            </w:r>
          </w:p>
        </w:tc>
        <w:tc>
          <w:tcPr>
            <w:tcW w:w="1331" w:type="dxa"/>
            <w:tcBorders>
              <w:top w:val="single" w:sz="2" w:space="0" w:color="003366"/>
            </w:tcBorders>
          </w:tcPr>
          <w:p w:rsidR="0002502F" w:rsidRDefault="0002502F" w:rsidP="0002502F">
            <w:pPr>
              <w:pStyle w:val="TableText"/>
            </w:pPr>
            <w:r>
              <w:t>10</w:t>
            </w:r>
          </w:p>
        </w:tc>
      </w:tr>
    </w:tbl>
    <w:p w:rsidR="0002502F" w:rsidRDefault="0002502F" w:rsidP="0002502F">
      <w:pPr>
        <w:pStyle w:val="TableNotes"/>
        <w:ind w:left="90"/>
      </w:pPr>
      <w:r>
        <w:t xml:space="preserve">Source: Whatcom Transportation Authority website (accessed February 6, 2009), and WSDOT Choices website: </w:t>
      </w:r>
      <w:r w:rsidRPr="001A4D9B">
        <w:t>http://www.wsdot.wa.gov/Choices/ParkRide.cfm#Whatcom</w:t>
      </w:r>
      <w:r>
        <w:t>; accessed on March 4, 2009.</w:t>
      </w:r>
    </w:p>
    <w:p w:rsidR="0002502F" w:rsidRDefault="001675D0" w:rsidP="0002502F">
      <w:pPr>
        <w:pStyle w:val="Heading3"/>
      </w:pPr>
      <w:r>
        <w:lastRenderedPageBreak/>
        <w:t>Future Needs</w:t>
      </w:r>
    </w:p>
    <w:p w:rsidR="0002502F" w:rsidRDefault="0002502F" w:rsidP="0002502F">
      <w:pPr>
        <w:pStyle w:val="BodyText"/>
      </w:pPr>
      <w:r>
        <w:t>Public transit providers typically provide LOS standards difficult to relate to capital facility needs with respect to changes in population over time. For example, Whatcom Transportation Authority (WTA) provides one capital facility standard of a shelter at each transit stop that has 25 boardings or more (WTA Strategic Plan, page 2-43, September 2004).</w:t>
      </w:r>
    </w:p>
    <w:p w:rsidR="0002502F" w:rsidRDefault="0002502F" w:rsidP="0002502F">
      <w:pPr>
        <w:pStyle w:val="Heading3"/>
      </w:pPr>
      <w:bookmarkStart w:id="19" w:name="_Toc245621876"/>
      <w:r>
        <w:t>Capital Projects and Funding</w:t>
      </w:r>
      <w:bookmarkEnd w:id="19"/>
    </w:p>
    <w:p w:rsidR="0002502F" w:rsidRDefault="0002502F" w:rsidP="0002502F">
      <w:pPr>
        <w:pStyle w:val="Heading4"/>
      </w:pPr>
      <w:r>
        <w:t>Capital Project Funding</w:t>
      </w:r>
    </w:p>
    <w:p w:rsidR="0002502F" w:rsidRDefault="0002502F" w:rsidP="0002502F">
      <w:pPr>
        <w:pStyle w:val="BodyText"/>
      </w:pPr>
      <w:r>
        <w:t>According to WSDOT’s 2014 Summary of Public Transportation, WTA is expected to receive $2.8 million annually from 2016-2021 from Federal Section 5307 Grants. These are the only funds reserved for capital, as other revenue sources such as fare box revenues and sales tax may also be used for operating expenses.</w:t>
      </w:r>
    </w:p>
    <w:p w:rsidR="0002502F" w:rsidRDefault="0002502F" w:rsidP="0002502F">
      <w:pPr>
        <w:pStyle w:val="Heading4"/>
      </w:pPr>
      <w:r>
        <w:t>Capital Projects</w:t>
      </w:r>
    </w:p>
    <w:p w:rsidR="0002502F" w:rsidRPr="00F83FB0" w:rsidRDefault="0002502F" w:rsidP="0002502F">
      <w:pPr>
        <w:pStyle w:val="BodyText"/>
      </w:pPr>
      <w:r>
        <w:t xml:space="preserve">The WTA breaks down capital outlays under categories that include Vehicles, Public Facilities, Strategic Partnerships, Street Side Improvements, and Technology Projects. The WTA’s 2016-2021 approved Transportation Improvement Program identified the following projects that will occur during the County CFP planning period. </w:t>
      </w:r>
    </w:p>
    <w:p w:rsidR="0002502F" w:rsidRDefault="0002502F" w:rsidP="0002502F">
      <w:pPr>
        <w:pStyle w:val="Caption"/>
      </w:pPr>
      <w:bookmarkStart w:id="20" w:name="_Toc245621974"/>
      <w:r>
        <w:t xml:space="preserve">Table </w:t>
      </w:r>
      <w:r w:rsidR="001A43B3">
        <w:t>9-6</w:t>
      </w:r>
      <w:r>
        <w:t>.</w:t>
      </w:r>
      <w:r>
        <w:tab/>
        <w:t>Transit Capital Projects</w:t>
      </w:r>
      <w:bookmarkEnd w:id="20"/>
    </w:p>
    <w:tbl>
      <w:tblPr>
        <w:tblW w:w="8568" w:type="dxa"/>
        <w:tblBorders>
          <w:top w:val="single" w:sz="4" w:space="0" w:color="1F497D"/>
          <w:bottom w:val="single" w:sz="4" w:space="0" w:color="1F497D"/>
          <w:insideH w:val="single" w:sz="4" w:space="0" w:color="1F497D"/>
          <w:insideV w:val="single" w:sz="4" w:space="0" w:color="1F497D"/>
        </w:tblBorders>
        <w:tblLayout w:type="fixed"/>
        <w:tblLook w:val="04A0" w:firstRow="1" w:lastRow="0" w:firstColumn="1" w:lastColumn="0" w:noHBand="0" w:noVBand="1"/>
      </w:tblPr>
      <w:tblGrid>
        <w:gridCol w:w="1638"/>
        <w:gridCol w:w="900"/>
        <w:gridCol w:w="900"/>
        <w:gridCol w:w="810"/>
        <w:gridCol w:w="810"/>
        <w:gridCol w:w="720"/>
        <w:gridCol w:w="810"/>
        <w:gridCol w:w="900"/>
        <w:gridCol w:w="1080"/>
      </w:tblGrid>
      <w:tr w:rsidR="0002502F" w:rsidTr="0002502F">
        <w:trPr>
          <w:tblHeader/>
        </w:trPr>
        <w:tc>
          <w:tcPr>
            <w:tcW w:w="1638" w:type="dxa"/>
          </w:tcPr>
          <w:p w:rsidR="0002502F" w:rsidRDefault="0002502F" w:rsidP="0002502F">
            <w:pPr>
              <w:pStyle w:val="TableHeader"/>
            </w:pPr>
            <w:r>
              <w:t>Project</w:t>
            </w:r>
            <w:r>
              <w:br/>
              <w:t>Costs/Revenue</w:t>
            </w:r>
            <w:r>
              <w:br/>
              <w:t>(thousands $)</w:t>
            </w:r>
          </w:p>
        </w:tc>
        <w:tc>
          <w:tcPr>
            <w:tcW w:w="900" w:type="dxa"/>
          </w:tcPr>
          <w:p w:rsidR="0002502F" w:rsidRDefault="0002502F" w:rsidP="0002502F">
            <w:pPr>
              <w:pStyle w:val="TableHeader"/>
            </w:pPr>
            <w:r>
              <w:t>2016</w:t>
            </w:r>
          </w:p>
        </w:tc>
        <w:tc>
          <w:tcPr>
            <w:tcW w:w="900" w:type="dxa"/>
          </w:tcPr>
          <w:p w:rsidR="0002502F" w:rsidRDefault="0002502F" w:rsidP="0002502F">
            <w:pPr>
              <w:pStyle w:val="TableHeader"/>
            </w:pPr>
            <w:r>
              <w:t>2017</w:t>
            </w:r>
          </w:p>
        </w:tc>
        <w:tc>
          <w:tcPr>
            <w:tcW w:w="810" w:type="dxa"/>
          </w:tcPr>
          <w:p w:rsidR="0002502F" w:rsidRDefault="0002502F" w:rsidP="0002502F">
            <w:pPr>
              <w:pStyle w:val="TableHeader"/>
            </w:pPr>
            <w:r>
              <w:t>2018</w:t>
            </w:r>
          </w:p>
        </w:tc>
        <w:tc>
          <w:tcPr>
            <w:tcW w:w="810" w:type="dxa"/>
          </w:tcPr>
          <w:p w:rsidR="0002502F" w:rsidRDefault="0002502F" w:rsidP="0002502F">
            <w:pPr>
              <w:pStyle w:val="TableHeader"/>
            </w:pPr>
            <w:r>
              <w:t>2019</w:t>
            </w:r>
          </w:p>
        </w:tc>
        <w:tc>
          <w:tcPr>
            <w:tcW w:w="720" w:type="dxa"/>
          </w:tcPr>
          <w:p w:rsidR="0002502F" w:rsidRDefault="0002502F" w:rsidP="0002502F">
            <w:pPr>
              <w:pStyle w:val="TableHeader"/>
            </w:pPr>
            <w:r>
              <w:t>2020</w:t>
            </w:r>
          </w:p>
        </w:tc>
        <w:tc>
          <w:tcPr>
            <w:tcW w:w="810" w:type="dxa"/>
          </w:tcPr>
          <w:p w:rsidR="0002502F" w:rsidRDefault="0002502F" w:rsidP="0002502F">
            <w:pPr>
              <w:pStyle w:val="TableHeader"/>
            </w:pPr>
            <w:r>
              <w:t>2021</w:t>
            </w:r>
          </w:p>
        </w:tc>
        <w:tc>
          <w:tcPr>
            <w:tcW w:w="900" w:type="dxa"/>
          </w:tcPr>
          <w:p w:rsidR="0002502F" w:rsidRDefault="0002502F" w:rsidP="0002502F">
            <w:pPr>
              <w:pStyle w:val="TableHeader"/>
            </w:pPr>
            <w:r>
              <w:t>2022-2041</w:t>
            </w:r>
          </w:p>
        </w:tc>
        <w:tc>
          <w:tcPr>
            <w:tcW w:w="1080" w:type="dxa"/>
          </w:tcPr>
          <w:p w:rsidR="0002502F" w:rsidRDefault="0002502F" w:rsidP="0002502F">
            <w:pPr>
              <w:pStyle w:val="TableHeader"/>
            </w:pPr>
            <w:r>
              <w:t>Total</w:t>
            </w:r>
          </w:p>
        </w:tc>
      </w:tr>
      <w:tr w:rsidR="0002502F" w:rsidTr="0002502F">
        <w:tc>
          <w:tcPr>
            <w:tcW w:w="8568" w:type="dxa"/>
            <w:gridSpan w:val="9"/>
            <w:shd w:val="clear" w:color="auto" w:fill="A6A6A6"/>
          </w:tcPr>
          <w:p w:rsidR="0002502F" w:rsidRDefault="0002502F" w:rsidP="0002502F">
            <w:pPr>
              <w:pStyle w:val="TableText"/>
              <w:rPr>
                <w:b/>
              </w:rPr>
            </w:pPr>
            <w:r>
              <w:rPr>
                <w:b/>
              </w:rPr>
              <w:t>Whatcom Transportation Authority</w:t>
            </w:r>
          </w:p>
        </w:tc>
      </w:tr>
      <w:tr w:rsidR="0002502F" w:rsidTr="0002502F">
        <w:tc>
          <w:tcPr>
            <w:tcW w:w="1638" w:type="dxa"/>
          </w:tcPr>
          <w:p w:rsidR="0002502F" w:rsidRDefault="0002502F" w:rsidP="0002502F">
            <w:pPr>
              <w:pStyle w:val="TableText"/>
            </w:pPr>
            <w:r>
              <w:t xml:space="preserve">Vehicle Purchases </w:t>
            </w:r>
          </w:p>
        </w:tc>
        <w:tc>
          <w:tcPr>
            <w:tcW w:w="900" w:type="dxa"/>
          </w:tcPr>
          <w:p w:rsidR="0002502F" w:rsidRDefault="0002502F" w:rsidP="0002502F">
            <w:pPr>
              <w:pStyle w:val="TableText"/>
            </w:pPr>
          </w:p>
        </w:tc>
        <w:tc>
          <w:tcPr>
            <w:tcW w:w="900" w:type="dxa"/>
          </w:tcPr>
          <w:p w:rsidR="0002502F" w:rsidRDefault="0002502F" w:rsidP="0002502F">
            <w:pPr>
              <w:pStyle w:val="TableText"/>
            </w:pPr>
          </w:p>
        </w:tc>
        <w:tc>
          <w:tcPr>
            <w:tcW w:w="810" w:type="dxa"/>
          </w:tcPr>
          <w:p w:rsidR="0002502F" w:rsidRDefault="0002502F" w:rsidP="0002502F">
            <w:pPr>
              <w:pStyle w:val="TableText"/>
            </w:pPr>
          </w:p>
        </w:tc>
        <w:tc>
          <w:tcPr>
            <w:tcW w:w="810" w:type="dxa"/>
          </w:tcPr>
          <w:p w:rsidR="0002502F" w:rsidRDefault="0002502F" w:rsidP="0002502F">
            <w:pPr>
              <w:pStyle w:val="TableText"/>
            </w:pPr>
          </w:p>
        </w:tc>
        <w:tc>
          <w:tcPr>
            <w:tcW w:w="720" w:type="dxa"/>
          </w:tcPr>
          <w:p w:rsidR="0002502F" w:rsidRDefault="0002502F" w:rsidP="0002502F">
            <w:pPr>
              <w:pStyle w:val="TableText"/>
            </w:pPr>
          </w:p>
        </w:tc>
        <w:tc>
          <w:tcPr>
            <w:tcW w:w="810" w:type="dxa"/>
          </w:tcPr>
          <w:p w:rsidR="0002502F" w:rsidRDefault="0002502F" w:rsidP="0002502F">
            <w:pPr>
              <w:pStyle w:val="TableText"/>
            </w:pPr>
          </w:p>
        </w:tc>
        <w:tc>
          <w:tcPr>
            <w:tcW w:w="900" w:type="dxa"/>
          </w:tcPr>
          <w:p w:rsidR="0002502F" w:rsidRDefault="0002502F" w:rsidP="0002502F">
            <w:pPr>
              <w:pStyle w:val="TableText"/>
            </w:pPr>
          </w:p>
        </w:tc>
        <w:tc>
          <w:tcPr>
            <w:tcW w:w="1080" w:type="dxa"/>
          </w:tcPr>
          <w:p w:rsidR="0002502F" w:rsidRDefault="0002502F" w:rsidP="0002502F">
            <w:pPr>
              <w:pStyle w:val="TableText"/>
            </w:pPr>
          </w:p>
        </w:tc>
      </w:tr>
      <w:tr w:rsidR="0002502F" w:rsidTr="0002502F">
        <w:tc>
          <w:tcPr>
            <w:tcW w:w="1638" w:type="dxa"/>
          </w:tcPr>
          <w:p w:rsidR="0002502F" w:rsidRDefault="0002502F" w:rsidP="0002502F">
            <w:pPr>
              <w:pStyle w:val="TableText"/>
            </w:pPr>
            <w:r>
              <w:t>Cost</w:t>
            </w:r>
          </w:p>
        </w:tc>
        <w:tc>
          <w:tcPr>
            <w:tcW w:w="900" w:type="dxa"/>
          </w:tcPr>
          <w:p w:rsidR="0002502F" w:rsidRDefault="0002502F" w:rsidP="0002502F">
            <w:pPr>
              <w:pStyle w:val="TableText"/>
            </w:pPr>
            <w:r>
              <w:t>6,290</w:t>
            </w:r>
          </w:p>
        </w:tc>
        <w:tc>
          <w:tcPr>
            <w:tcW w:w="900" w:type="dxa"/>
          </w:tcPr>
          <w:p w:rsidR="0002502F" w:rsidRDefault="0002502F" w:rsidP="0002502F">
            <w:pPr>
              <w:pStyle w:val="TableText"/>
            </w:pPr>
            <w:r>
              <w:t>477</w:t>
            </w:r>
          </w:p>
        </w:tc>
        <w:tc>
          <w:tcPr>
            <w:tcW w:w="810" w:type="dxa"/>
          </w:tcPr>
          <w:p w:rsidR="0002502F" w:rsidRDefault="0002502F" w:rsidP="0002502F">
            <w:pPr>
              <w:pStyle w:val="TableText"/>
            </w:pPr>
            <w:r>
              <w:t>7,259</w:t>
            </w:r>
          </w:p>
        </w:tc>
        <w:tc>
          <w:tcPr>
            <w:tcW w:w="810" w:type="dxa"/>
          </w:tcPr>
          <w:p w:rsidR="0002502F" w:rsidRDefault="0002502F" w:rsidP="0002502F">
            <w:pPr>
              <w:pStyle w:val="TableText"/>
            </w:pPr>
            <w:r>
              <w:t>5,461</w:t>
            </w:r>
          </w:p>
        </w:tc>
        <w:tc>
          <w:tcPr>
            <w:tcW w:w="720" w:type="dxa"/>
          </w:tcPr>
          <w:p w:rsidR="0002502F" w:rsidRDefault="0002502F" w:rsidP="0002502F">
            <w:pPr>
              <w:pStyle w:val="TableText"/>
            </w:pPr>
            <w:r>
              <w:t>4,035</w:t>
            </w:r>
          </w:p>
        </w:tc>
        <w:tc>
          <w:tcPr>
            <w:tcW w:w="810" w:type="dxa"/>
          </w:tcPr>
          <w:p w:rsidR="0002502F" w:rsidRDefault="0002502F" w:rsidP="0002502F">
            <w:pPr>
              <w:pStyle w:val="TableText"/>
            </w:pPr>
            <w:r>
              <w:t>4,166</w:t>
            </w:r>
          </w:p>
        </w:tc>
        <w:tc>
          <w:tcPr>
            <w:tcW w:w="900" w:type="dxa"/>
          </w:tcPr>
          <w:p w:rsidR="0002502F" w:rsidRDefault="0002502F" w:rsidP="0002502F">
            <w:pPr>
              <w:pStyle w:val="TableText"/>
            </w:pPr>
          </w:p>
        </w:tc>
        <w:tc>
          <w:tcPr>
            <w:tcW w:w="1080" w:type="dxa"/>
          </w:tcPr>
          <w:p w:rsidR="0002502F" w:rsidRDefault="0002502F" w:rsidP="0002502F">
            <w:pPr>
              <w:pStyle w:val="TableText"/>
            </w:pPr>
            <w:r>
              <w:t>27,688</w:t>
            </w:r>
          </w:p>
        </w:tc>
      </w:tr>
      <w:tr w:rsidR="0002502F" w:rsidTr="0002502F">
        <w:tc>
          <w:tcPr>
            <w:tcW w:w="1638" w:type="dxa"/>
          </w:tcPr>
          <w:p w:rsidR="0002502F" w:rsidDel="008C5150" w:rsidRDefault="0002502F" w:rsidP="0002502F">
            <w:pPr>
              <w:pStyle w:val="TableText"/>
            </w:pPr>
            <w:r>
              <w:t>Technology Projects</w:t>
            </w:r>
          </w:p>
        </w:tc>
        <w:tc>
          <w:tcPr>
            <w:tcW w:w="900" w:type="dxa"/>
          </w:tcPr>
          <w:p w:rsidR="0002502F" w:rsidRDefault="0002502F" w:rsidP="0002502F">
            <w:pPr>
              <w:pStyle w:val="TableText"/>
            </w:pPr>
          </w:p>
        </w:tc>
        <w:tc>
          <w:tcPr>
            <w:tcW w:w="900" w:type="dxa"/>
          </w:tcPr>
          <w:p w:rsidR="0002502F" w:rsidRDefault="0002502F" w:rsidP="0002502F">
            <w:pPr>
              <w:pStyle w:val="TableText"/>
            </w:pPr>
          </w:p>
        </w:tc>
        <w:tc>
          <w:tcPr>
            <w:tcW w:w="810" w:type="dxa"/>
          </w:tcPr>
          <w:p w:rsidR="0002502F" w:rsidRDefault="0002502F" w:rsidP="0002502F">
            <w:pPr>
              <w:pStyle w:val="TableText"/>
            </w:pPr>
          </w:p>
        </w:tc>
        <w:tc>
          <w:tcPr>
            <w:tcW w:w="810" w:type="dxa"/>
          </w:tcPr>
          <w:p w:rsidR="0002502F" w:rsidRDefault="0002502F" w:rsidP="0002502F">
            <w:pPr>
              <w:pStyle w:val="TableText"/>
            </w:pPr>
          </w:p>
        </w:tc>
        <w:tc>
          <w:tcPr>
            <w:tcW w:w="720" w:type="dxa"/>
          </w:tcPr>
          <w:p w:rsidR="0002502F" w:rsidRDefault="0002502F" w:rsidP="0002502F">
            <w:pPr>
              <w:pStyle w:val="TableText"/>
            </w:pPr>
          </w:p>
        </w:tc>
        <w:tc>
          <w:tcPr>
            <w:tcW w:w="810" w:type="dxa"/>
          </w:tcPr>
          <w:p w:rsidR="0002502F" w:rsidRDefault="0002502F" w:rsidP="0002502F">
            <w:pPr>
              <w:pStyle w:val="TableText"/>
            </w:pPr>
          </w:p>
        </w:tc>
        <w:tc>
          <w:tcPr>
            <w:tcW w:w="900" w:type="dxa"/>
          </w:tcPr>
          <w:p w:rsidR="0002502F" w:rsidRDefault="0002502F" w:rsidP="0002502F">
            <w:pPr>
              <w:pStyle w:val="TableText"/>
            </w:pPr>
          </w:p>
        </w:tc>
        <w:tc>
          <w:tcPr>
            <w:tcW w:w="1080" w:type="dxa"/>
          </w:tcPr>
          <w:p w:rsidR="0002502F" w:rsidRDefault="0002502F" w:rsidP="0002502F">
            <w:pPr>
              <w:pStyle w:val="TableText"/>
            </w:pPr>
          </w:p>
        </w:tc>
      </w:tr>
      <w:tr w:rsidR="0002502F" w:rsidTr="0002502F">
        <w:tc>
          <w:tcPr>
            <w:tcW w:w="1638" w:type="dxa"/>
          </w:tcPr>
          <w:p w:rsidR="0002502F" w:rsidDel="008C5150" w:rsidRDefault="0002502F" w:rsidP="0002502F">
            <w:pPr>
              <w:pStyle w:val="TableText"/>
            </w:pPr>
            <w:r>
              <w:t>Cost</w:t>
            </w:r>
          </w:p>
        </w:tc>
        <w:tc>
          <w:tcPr>
            <w:tcW w:w="900" w:type="dxa"/>
          </w:tcPr>
          <w:p w:rsidR="0002502F" w:rsidRDefault="0002502F" w:rsidP="0002502F">
            <w:pPr>
              <w:pStyle w:val="TableText"/>
            </w:pPr>
            <w:r>
              <w:t>4,150</w:t>
            </w:r>
          </w:p>
        </w:tc>
        <w:tc>
          <w:tcPr>
            <w:tcW w:w="900" w:type="dxa"/>
          </w:tcPr>
          <w:p w:rsidR="0002502F" w:rsidRDefault="0002502F" w:rsidP="0002502F">
            <w:pPr>
              <w:pStyle w:val="TableText"/>
            </w:pPr>
          </w:p>
        </w:tc>
        <w:tc>
          <w:tcPr>
            <w:tcW w:w="810" w:type="dxa"/>
          </w:tcPr>
          <w:p w:rsidR="0002502F" w:rsidRDefault="0002502F" w:rsidP="0002502F">
            <w:pPr>
              <w:pStyle w:val="TableText"/>
            </w:pPr>
          </w:p>
        </w:tc>
        <w:tc>
          <w:tcPr>
            <w:tcW w:w="810" w:type="dxa"/>
          </w:tcPr>
          <w:p w:rsidR="0002502F" w:rsidRDefault="0002502F" w:rsidP="0002502F">
            <w:pPr>
              <w:pStyle w:val="TableText"/>
            </w:pPr>
          </w:p>
        </w:tc>
        <w:tc>
          <w:tcPr>
            <w:tcW w:w="720" w:type="dxa"/>
          </w:tcPr>
          <w:p w:rsidR="0002502F" w:rsidRDefault="0002502F" w:rsidP="0002502F">
            <w:pPr>
              <w:pStyle w:val="TableText"/>
            </w:pPr>
          </w:p>
        </w:tc>
        <w:tc>
          <w:tcPr>
            <w:tcW w:w="810" w:type="dxa"/>
          </w:tcPr>
          <w:p w:rsidR="0002502F" w:rsidRDefault="0002502F" w:rsidP="0002502F">
            <w:pPr>
              <w:pStyle w:val="TableText"/>
            </w:pPr>
          </w:p>
        </w:tc>
        <w:tc>
          <w:tcPr>
            <w:tcW w:w="900" w:type="dxa"/>
          </w:tcPr>
          <w:p w:rsidR="0002502F" w:rsidRDefault="0002502F" w:rsidP="0002502F">
            <w:pPr>
              <w:pStyle w:val="TableText"/>
            </w:pPr>
          </w:p>
        </w:tc>
        <w:tc>
          <w:tcPr>
            <w:tcW w:w="1080" w:type="dxa"/>
          </w:tcPr>
          <w:p w:rsidR="0002502F" w:rsidRDefault="0002502F" w:rsidP="0002502F">
            <w:pPr>
              <w:pStyle w:val="TableText"/>
            </w:pPr>
            <w:r>
              <w:t>4,150</w:t>
            </w:r>
          </w:p>
        </w:tc>
      </w:tr>
      <w:tr w:rsidR="0002502F" w:rsidTr="0002502F">
        <w:tc>
          <w:tcPr>
            <w:tcW w:w="1638" w:type="dxa"/>
          </w:tcPr>
          <w:p w:rsidR="0002502F" w:rsidRDefault="0002502F" w:rsidP="0002502F">
            <w:pPr>
              <w:pStyle w:val="TableText"/>
            </w:pPr>
            <w:r>
              <w:t>Facilities Improvements</w:t>
            </w:r>
          </w:p>
        </w:tc>
        <w:tc>
          <w:tcPr>
            <w:tcW w:w="900" w:type="dxa"/>
          </w:tcPr>
          <w:p w:rsidR="0002502F" w:rsidRDefault="0002502F" w:rsidP="0002502F">
            <w:pPr>
              <w:pStyle w:val="TableText"/>
            </w:pPr>
          </w:p>
        </w:tc>
        <w:tc>
          <w:tcPr>
            <w:tcW w:w="900" w:type="dxa"/>
          </w:tcPr>
          <w:p w:rsidR="0002502F" w:rsidRDefault="0002502F" w:rsidP="0002502F">
            <w:pPr>
              <w:pStyle w:val="TableText"/>
            </w:pPr>
          </w:p>
        </w:tc>
        <w:tc>
          <w:tcPr>
            <w:tcW w:w="810" w:type="dxa"/>
          </w:tcPr>
          <w:p w:rsidR="0002502F" w:rsidRDefault="0002502F" w:rsidP="0002502F">
            <w:pPr>
              <w:pStyle w:val="TableText"/>
            </w:pPr>
          </w:p>
        </w:tc>
        <w:tc>
          <w:tcPr>
            <w:tcW w:w="810" w:type="dxa"/>
          </w:tcPr>
          <w:p w:rsidR="0002502F" w:rsidRDefault="0002502F" w:rsidP="0002502F">
            <w:pPr>
              <w:pStyle w:val="TableText"/>
            </w:pPr>
          </w:p>
        </w:tc>
        <w:tc>
          <w:tcPr>
            <w:tcW w:w="720" w:type="dxa"/>
          </w:tcPr>
          <w:p w:rsidR="0002502F" w:rsidRDefault="0002502F" w:rsidP="0002502F">
            <w:pPr>
              <w:pStyle w:val="TableText"/>
            </w:pPr>
          </w:p>
        </w:tc>
        <w:tc>
          <w:tcPr>
            <w:tcW w:w="810" w:type="dxa"/>
          </w:tcPr>
          <w:p w:rsidR="0002502F" w:rsidRDefault="0002502F" w:rsidP="0002502F">
            <w:pPr>
              <w:pStyle w:val="TableText"/>
            </w:pPr>
          </w:p>
        </w:tc>
        <w:tc>
          <w:tcPr>
            <w:tcW w:w="900" w:type="dxa"/>
          </w:tcPr>
          <w:p w:rsidR="0002502F" w:rsidRDefault="0002502F" w:rsidP="0002502F">
            <w:pPr>
              <w:pStyle w:val="TableText"/>
            </w:pPr>
          </w:p>
        </w:tc>
        <w:tc>
          <w:tcPr>
            <w:tcW w:w="1080" w:type="dxa"/>
          </w:tcPr>
          <w:p w:rsidR="0002502F" w:rsidRDefault="0002502F" w:rsidP="0002502F">
            <w:pPr>
              <w:pStyle w:val="TableText"/>
            </w:pPr>
          </w:p>
        </w:tc>
      </w:tr>
      <w:tr w:rsidR="0002502F" w:rsidTr="0002502F">
        <w:tc>
          <w:tcPr>
            <w:tcW w:w="1638" w:type="dxa"/>
          </w:tcPr>
          <w:p w:rsidR="0002502F" w:rsidRDefault="0002502F" w:rsidP="0002502F">
            <w:pPr>
              <w:pStyle w:val="TableText"/>
            </w:pPr>
            <w:r>
              <w:t>Cost</w:t>
            </w:r>
          </w:p>
        </w:tc>
        <w:tc>
          <w:tcPr>
            <w:tcW w:w="900" w:type="dxa"/>
          </w:tcPr>
          <w:p w:rsidR="0002502F" w:rsidRDefault="0002502F" w:rsidP="0002502F">
            <w:pPr>
              <w:pStyle w:val="TableText"/>
            </w:pPr>
            <w:r>
              <w:t>1,850</w:t>
            </w:r>
          </w:p>
        </w:tc>
        <w:tc>
          <w:tcPr>
            <w:tcW w:w="900" w:type="dxa"/>
          </w:tcPr>
          <w:p w:rsidR="0002502F" w:rsidRDefault="0002502F" w:rsidP="0002502F">
            <w:pPr>
              <w:pStyle w:val="TableText"/>
            </w:pPr>
            <w:r>
              <w:t>100</w:t>
            </w:r>
          </w:p>
        </w:tc>
        <w:tc>
          <w:tcPr>
            <w:tcW w:w="810" w:type="dxa"/>
          </w:tcPr>
          <w:p w:rsidR="0002502F" w:rsidRDefault="0002502F" w:rsidP="0002502F">
            <w:pPr>
              <w:pStyle w:val="TableText"/>
            </w:pPr>
          </w:p>
        </w:tc>
        <w:tc>
          <w:tcPr>
            <w:tcW w:w="810" w:type="dxa"/>
          </w:tcPr>
          <w:p w:rsidR="0002502F" w:rsidRDefault="0002502F" w:rsidP="0002502F">
            <w:pPr>
              <w:pStyle w:val="TableText"/>
            </w:pPr>
          </w:p>
        </w:tc>
        <w:tc>
          <w:tcPr>
            <w:tcW w:w="720" w:type="dxa"/>
          </w:tcPr>
          <w:p w:rsidR="0002502F" w:rsidRDefault="0002502F" w:rsidP="0002502F">
            <w:pPr>
              <w:pStyle w:val="TableText"/>
            </w:pPr>
          </w:p>
        </w:tc>
        <w:tc>
          <w:tcPr>
            <w:tcW w:w="810" w:type="dxa"/>
          </w:tcPr>
          <w:p w:rsidR="0002502F" w:rsidRDefault="0002502F" w:rsidP="0002502F">
            <w:pPr>
              <w:pStyle w:val="TableText"/>
            </w:pPr>
          </w:p>
        </w:tc>
        <w:tc>
          <w:tcPr>
            <w:tcW w:w="900" w:type="dxa"/>
          </w:tcPr>
          <w:p w:rsidR="0002502F" w:rsidRDefault="0002502F" w:rsidP="0002502F">
            <w:pPr>
              <w:pStyle w:val="TableText"/>
            </w:pPr>
          </w:p>
        </w:tc>
        <w:tc>
          <w:tcPr>
            <w:tcW w:w="1080" w:type="dxa"/>
          </w:tcPr>
          <w:p w:rsidR="0002502F" w:rsidRDefault="0002502F" w:rsidP="0002502F">
            <w:pPr>
              <w:pStyle w:val="TableText"/>
            </w:pPr>
            <w:r>
              <w:t>1,950</w:t>
            </w:r>
          </w:p>
        </w:tc>
      </w:tr>
    </w:tbl>
    <w:p w:rsidR="0002502F" w:rsidRDefault="0002502F" w:rsidP="0002502F">
      <w:pPr>
        <w:pStyle w:val="TableNotes"/>
      </w:pPr>
      <w:r>
        <w:t>Source: WTA 2016-2021 Approved Transportation Improvement Program.</w:t>
      </w:r>
    </w:p>
    <w:p w:rsidR="00037D4F" w:rsidRDefault="00A2170E" w:rsidP="00037D4F">
      <w:pPr>
        <w:pStyle w:val="BodyText"/>
      </w:pPr>
      <w:r>
        <w:br w:type="page"/>
      </w:r>
    </w:p>
    <w:p w:rsidR="00037D4F" w:rsidRDefault="00037D4F" w:rsidP="00037D4F">
      <w:pPr>
        <w:pStyle w:val="TOAHeading"/>
      </w:pPr>
      <w:r>
        <w:lastRenderedPageBreak/>
        <w:t>Chapter 10 – Stormwater Facilities</w:t>
      </w:r>
    </w:p>
    <w:p w:rsidR="00A2170E" w:rsidRDefault="00A2170E" w:rsidP="00A2170E">
      <w:pPr>
        <w:pStyle w:val="Heading3"/>
      </w:pPr>
      <w:bookmarkStart w:id="21" w:name="_Toc245621864"/>
      <w:r>
        <w:t>Inventory of Current Facilities</w:t>
      </w:r>
      <w:bookmarkEnd w:id="21"/>
    </w:p>
    <w:p w:rsidR="0010330A" w:rsidRPr="0010330A" w:rsidRDefault="0010330A" w:rsidP="00D97A12">
      <w:pPr>
        <w:spacing w:before="0" w:after="0" w:line="276" w:lineRule="auto"/>
        <w:rPr>
          <w:rFonts w:eastAsiaTheme="minorHAnsi"/>
          <w:szCs w:val="22"/>
        </w:rPr>
      </w:pPr>
      <w:bookmarkStart w:id="22" w:name="OLE_LINK1"/>
      <w:bookmarkStart w:id="23" w:name="OLE_LINK2"/>
      <w:r w:rsidRPr="0010330A">
        <w:rPr>
          <w:rFonts w:eastAsiaTheme="minorHAnsi"/>
          <w:szCs w:val="22"/>
        </w:rPr>
        <w:t>The Public Works Department is responsible for design, engineering, and construction of county-owned stormwater facilities.  Many stormwater facilities are road-related stormwater conveyance systems such as culverts and ditches on and adjacent to county roads.  Others are off right-of-way facilities that control storm flows and improve water quality.</w:t>
      </w:r>
    </w:p>
    <w:p w:rsidR="0010330A" w:rsidRPr="0010330A" w:rsidRDefault="0010330A" w:rsidP="00D97A12">
      <w:pPr>
        <w:spacing w:before="0" w:after="0" w:line="276" w:lineRule="auto"/>
        <w:rPr>
          <w:rFonts w:eastAsiaTheme="minorHAnsi"/>
          <w:sz w:val="16"/>
          <w:szCs w:val="16"/>
        </w:rPr>
      </w:pPr>
    </w:p>
    <w:p w:rsidR="0010330A" w:rsidRDefault="0010330A" w:rsidP="00D97A12">
      <w:pPr>
        <w:spacing w:before="0" w:after="0" w:line="276" w:lineRule="auto"/>
        <w:rPr>
          <w:rFonts w:ascii="Verdana" w:eastAsiaTheme="minorHAnsi" w:hAnsi="Verdana" w:cstheme="minorBidi"/>
          <w:szCs w:val="22"/>
        </w:rPr>
      </w:pPr>
      <w:r w:rsidRPr="0010330A">
        <w:rPr>
          <w:rFonts w:eastAsiaTheme="minorHAnsi"/>
          <w:szCs w:val="22"/>
        </w:rPr>
        <w:t>In response to increasing federal and state mandates to manage stormwater and the public’s desire to improve stewardship of sensitive watersheds, Whatcom County established a Stormwater group in the Surface Water Division of the Public Works Department in 2005.  The Stormwater group is responsible for planning, designing, engineering, and construction of stormwater facilities.  Inventories of existing stormwater facilities are maintained by the Public Works Department.  The Engineering Services Division maintains an inventory of all road-related facilities.  The Stormwater group maintains an inventory of public and private stormwater facilities in the area covered by the County’s NPDES Phase II permit for Municipal Separate Storm Sewer Systems.  This inventory includes ditches, culverts, catch basins, vaults, ponds, and swales.  Completed stormwater construction projects since the Public Works-Stormwater group was created in 2005 are listed below.</w:t>
      </w:r>
      <w:r w:rsidRPr="0010330A">
        <w:rPr>
          <w:rFonts w:ascii="Verdana" w:eastAsiaTheme="minorHAnsi" w:hAnsi="Verdana" w:cstheme="minorBidi"/>
          <w:szCs w:val="22"/>
        </w:rPr>
        <w:t xml:space="preserve">  </w:t>
      </w:r>
    </w:p>
    <w:p w:rsidR="002C0FF7" w:rsidRDefault="002C0FF7" w:rsidP="00596AE2">
      <w:pPr>
        <w:spacing w:before="0" w:after="0"/>
      </w:pPr>
    </w:p>
    <w:p w:rsidR="00645FF5" w:rsidRPr="002C0FF7" w:rsidRDefault="002C0FF7" w:rsidP="00596AE2">
      <w:pPr>
        <w:spacing w:before="0" w:after="0"/>
        <w:rPr>
          <w:rFonts w:ascii="Arial Narrow" w:eastAsiaTheme="minorHAnsi" w:hAnsi="Arial Narrow" w:cstheme="minorBidi"/>
          <w:b/>
          <w:sz w:val="24"/>
        </w:rPr>
      </w:pPr>
      <w:r w:rsidRPr="002C0FF7">
        <w:rPr>
          <w:rFonts w:ascii="Arial Narrow" w:hAnsi="Arial Narrow"/>
          <w:b/>
          <w:color w:val="1F497D" w:themeColor="text2"/>
          <w:sz w:val="24"/>
        </w:rPr>
        <w:t>Table 10.1</w:t>
      </w:r>
      <w:r w:rsidRPr="002C0FF7">
        <w:rPr>
          <w:rFonts w:ascii="Arial Narrow" w:hAnsi="Arial Narrow"/>
          <w:b/>
          <w:color w:val="1F497D" w:themeColor="text2"/>
          <w:sz w:val="24"/>
        </w:rPr>
        <w:tab/>
        <w:t>Completed Stormwater Projects</w:t>
      </w:r>
    </w:p>
    <w:bookmarkStart w:id="24" w:name="_MON_1397556412"/>
    <w:bookmarkEnd w:id="24"/>
    <w:p w:rsidR="00A2170E" w:rsidRDefault="00596AE2" w:rsidP="0010330A">
      <w:pPr>
        <w:pStyle w:val="TableNotes"/>
        <w:ind w:left="90"/>
      </w:pPr>
      <w:r w:rsidRPr="0010330A">
        <w:rPr>
          <w:rFonts w:ascii="Verdana" w:eastAsiaTheme="minorHAnsi" w:hAnsi="Verdana" w:cstheme="minorBidi"/>
          <w:sz w:val="22"/>
          <w:szCs w:val="22"/>
        </w:rPr>
        <w:object w:dxaOrig="9231" w:dyaOrig="2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4pt;height:107.2pt" o:ole="">
            <v:imagedata r:id="rId16" o:title=""/>
          </v:shape>
          <o:OLEObject Type="Embed" ProgID="Excel.Sheet.12" ShapeID="_x0000_i1025" DrawAspect="Content" ObjectID="_1525845007" r:id="rId17"/>
        </w:object>
      </w:r>
    </w:p>
    <w:bookmarkEnd w:id="22"/>
    <w:bookmarkEnd w:id="23"/>
    <w:p w:rsidR="00A2170E" w:rsidRDefault="0033772C" w:rsidP="00A2170E">
      <w:pPr>
        <w:pStyle w:val="Heading3"/>
      </w:pPr>
      <w:r>
        <w:t>Future Needs</w:t>
      </w:r>
    </w:p>
    <w:p w:rsidR="00392C68" w:rsidRDefault="0010330A" w:rsidP="00D97A12">
      <w:pPr>
        <w:spacing w:before="0" w:after="0" w:line="276" w:lineRule="auto"/>
        <w:rPr>
          <w:rFonts w:eastAsiaTheme="minorHAnsi"/>
          <w:szCs w:val="22"/>
        </w:rPr>
      </w:pPr>
      <w:r w:rsidRPr="0010330A">
        <w:rPr>
          <w:rFonts w:eastAsiaTheme="minorHAnsi"/>
          <w:szCs w:val="22"/>
        </w:rPr>
        <w:t xml:space="preserve">An increasing emphasis on the protection of sensitive watersheds has resulted in the adoption of comprehensive stormwater plans, including plans for Lake Whatcom and Birch Bay.  The adopted plans identify work towards planning, design, engineering, and construction of capital projects intended to address stormwater issues.  </w:t>
      </w:r>
    </w:p>
    <w:p w:rsidR="0033772C" w:rsidRDefault="0033772C" w:rsidP="00D97A12">
      <w:pPr>
        <w:spacing w:before="0" w:after="0" w:line="276" w:lineRule="auto"/>
        <w:rPr>
          <w:rFonts w:eastAsiaTheme="minorHAnsi"/>
          <w:szCs w:val="22"/>
        </w:rPr>
      </w:pPr>
    </w:p>
    <w:p w:rsidR="0033772C" w:rsidRDefault="0033772C" w:rsidP="00D97A12">
      <w:pPr>
        <w:spacing w:before="0" w:after="0" w:line="276" w:lineRule="auto"/>
        <w:rPr>
          <w:rFonts w:eastAsiaTheme="minorHAnsi"/>
          <w:szCs w:val="22"/>
        </w:rPr>
      </w:pPr>
      <w:r>
        <w:t>In addition</w:t>
      </w:r>
      <w:r w:rsidR="00373D8B">
        <w:t>, t</w:t>
      </w:r>
      <w:r>
        <w:t xml:space="preserve">he County has adopted a </w:t>
      </w:r>
      <w:r w:rsidRPr="004255CD">
        <w:t>Stormwater M</w:t>
      </w:r>
      <w:r w:rsidR="00083017">
        <w:t xml:space="preserve">anagement Program </w:t>
      </w:r>
      <w:r>
        <w:t xml:space="preserve">in accordance with the NPDES Phase II permit. This program applies to </w:t>
      </w:r>
      <w:r w:rsidR="00083017">
        <w:t xml:space="preserve">about </w:t>
      </w:r>
      <w:r>
        <w:t>15,000 acres of unincor</w:t>
      </w:r>
      <w:r w:rsidR="00083017">
        <w:t xml:space="preserve">porated </w:t>
      </w:r>
      <w:r>
        <w:t xml:space="preserve">lands including the Birch Bay UGA, Ferndale UGA, Bellingham UGA and other lands along the south shore of Lake Whatcom. Goals of the </w:t>
      </w:r>
      <w:r w:rsidRPr="004255CD">
        <w:t>Sto</w:t>
      </w:r>
      <w:r>
        <w:t>rmwater Management Program include detecting and eliminating illic</w:t>
      </w:r>
      <w:r w:rsidR="00D97A12">
        <w:t>it discharges to surface waters,</w:t>
      </w:r>
      <w:r>
        <w:t xml:space="preserve"> controlling runoff from new development, rede</w:t>
      </w:r>
      <w:r w:rsidR="00D97A12">
        <w:t>velopment, and new construction,</w:t>
      </w:r>
      <w:r>
        <w:t xml:space="preserve"> pollution prevention and operation and maintenance for </w:t>
      </w:r>
      <w:r w:rsidR="00D97A12">
        <w:lastRenderedPageBreak/>
        <w:t>municipal operations, educating the public,</w:t>
      </w:r>
      <w:r>
        <w:t xml:space="preserve"> m</w:t>
      </w:r>
      <w:r w:rsidR="00D97A12">
        <w:t>onitoring stormwater monitoring,</w:t>
      </w:r>
      <w:r>
        <w:t xml:space="preserve"> and collecting and reporting data on the Program.</w:t>
      </w:r>
    </w:p>
    <w:p w:rsidR="001D28F4" w:rsidRDefault="001D28F4" w:rsidP="001D28F4">
      <w:pPr>
        <w:pStyle w:val="Heading3"/>
      </w:pPr>
      <w:bookmarkStart w:id="25" w:name="_Toc245621866"/>
      <w:r>
        <w:t>Capital Projects and Funding</w:t>
      </w:r>
      <w:bookmarkEnd w:id="25"/>
    </w:p>
    <w:p w:rsidR="00083017" w:rsidRDefault="00392C68" w:rsidP="00392C68">
      <w:pPr>
        <w:spacing w:line="300" w:lineRule="atLeast"/>
      </w:pPr>
      <w:r>
        <w:t>Stormwater</w:t>
      </w:r>
      <w:r w:rsidRPr="00392C68">
        <w:t xml:space="preserve"> improvement projects anticipated in the six-year planning period include </w:t>
      </w:r>
      <w:r w:rsidR="00083017">
        <w:t>the following:</w:t>
      </w:r>
    </w:p>
    <w:p w:rsidR="00083017" w:rsidRPr="005C6CE3" w:rsidRDefault="00083017" w:rsidP="00083017">
      <w:pPr>
        <w:pStyle w:val="ListParagraph"/>
        <w:numPr>
          <w:ilvl w:val="0"/>
          <w:numId w:val="44"/>
        </w:numPr>
        <w:spacing w:line="300" w:lineRule="atLeast"/>
        <w:rPr>
          <w:rFonts w:ascii="Times New Roman" w:hAnsi="Times New Roman"/>
        </w:rPr>
      </w:pPr>
      <w:r w:rsidRPr="005C6CE3">
        <w:rPr>
          <w:rFonts w:ascii="Times New Roman" w:hAnsi="Times New Roman"/>
        </w:rPr>
        <w:t>Lake Whatcom Watershed – Water quality improvements, drainage system upgrades, outfall retrofits, channel restoration, and stormwater improvements.</w:t>
      </w:r>
    </w:p>
    <w:p w:rsidR="00083017" w:rsidRPr="005C6CE3" w:rsidRDefault="00083017" w:rsidP="00083017">
      <w:pPr>
        <w:pStyle w:val="ListParagraph"/>
        <w:spacing w:line="300" w:lineRule="atLeast"/>
        <w:rPr>
          <w:rFonts w:ascii="Times New Roman" w:hAnsi="Times New Roman"/>
        </w:rPr>
      </w:pPr>
    </w:p>
    <w:p w:rsidR="00083017" w:rsidRPr="005C6CE3" w:rsidRDefault="00083017" w:rsidP="00083017">
      <w:pPr>
        <w:pStyle w:val="ListParagraph"/>
        <w:numPr>
          <w:ilvl w:val="0"/>
          <w:numId w:val="44"/>
        </w:numPr>
        <w:spacing w:line="300" w:lineRule="atLeast"/>
        <w:rPr>
          <w:rFonts w:ascii="Times New Roman" w:hAnsi="Times New Roman"/>
        </w:rPr>
      </w:pPr>
      <w:r w:rsidRPr="005C6CE3">
        <w:rPr>
          <w:rFonts w:ascii="Times New Roman" w:hAnsi="Times New Roman"/>
        </w:rPr>
        <w:t>Birch Bay Watershed - D</w:t>
      </w:r>
      <w:r w:rsidR="00392C68" w:rsidRPr="005C6CE3">
        <w:rPr>
          <w:rFonts w:ascii="Times New Roman" w:hAnsi="Times New Roman"/>
        </w:rPr>
        <w:t xml:space="preserve">rainage </w:t>
      </w:r>
      <w:r w:rsidRPr="005C6CE3">
        <w:rPr>
          <w:rFonts w:ascii="Times New Roman" w:hAnsi="Times New Roman"/>
        </w:rPr>
        <w:t>improvements and an inlet upgrade</w:t>
      </w:r>
      <w:r w:rsidR="00392C68" w:rsidRPr="005C6CE3">
        <w:rPr>
          <w:rFonts w:ascii="Times New Roman" w:hAnsi="Times New Roman"/>
        </w:rPr>
        <w:t xml:space="preserve">. </w:t>
      </w:r>
    </w:p>
    <w:p w:rsidR="00083017" w:rsidRPr="005C6CE3" w:rsidRDefault="00083017" w:rsidP="00083017">
      <w:pPr>
        <w:spacing w:after="0" w:line="300" w:lineRule="atLeast"/>
      </w:pPr>
    </w:p>
    <w:p w:rsidR="00392C68" w:rsidRPr="00392C68" w:rsidRDefault="00392C68" w:rsidP="00083017">
      <w:pPr>
        <w:spacing w:line="300" w:lineRule="atLeast"/>
      </w:pPr>
      <w:r w:rsidRPr="00392C68">
        <w:t>These improvem</w:t>
      </w:r>
      <w:r>
        <w:t xml:space="preserve">ents will cost </w:t>
      </w:r>
      <w:r w:rsidR="00645FF5">
        <w:t xml:space="preserve">a total of </w:t>
      </w:r>
      <w:r>
        <w:t>approximately $7</w:t>
      </w:r>
      <w:r w:rsidRPr="00392C68">
        <w:t xml:space="preserve">.2 million, which will be paid with the funding sources shown in the </w:t>
      </w:r>
      <w:r w:rsidRPr="00D97A12">
        <w:rPr>
          <w:i/>
        </w:rPr>
        <w:t>Six-Year Capital Improvement Program for Whatcom County Facilities</w:t>
      </w:r>
      <w:r w:rsidRPr="00392C68">
        <w:t>.</w:t>
      </w:r>
    </w:p>
    <w:p w:rsidR="00392C68" w:rsidRPr="00392C68" w:rsidRDefault="00645FF5" w:rsidP="00392C68">
      <w:pPr>
        <w:spacing w:line="300" w:lineRule="atLeast"/>
      </w:pPr>
      <w:r>
        <w:t xml:space="preserve">It is anticipated that </w:t>
      </w:r>
      <w:r w:rsidR="00392C68" w:rsidRPr="00392C68">
        <w:t>approximately $</w:t>
      </w:r>
      <w:r>
        <w:t>1.4 million will</w:t>
      </w:r>
      <w:r w:rsidR="00392C68" w:rsidRPr="00392C68">
        <w:t xml:space="preserve"> be spent annually on various </w:t>
      </w:r>
      <w:r>
        <w:t xml:space="preserve">stormwater improvement </w:t>
      </w:r>
      <w:r w:rsidR="00392C68" w:rsidRPr="00392C68">
        <w:t>projects</w:t>
      </w:r>
      <w:r>
        <w:t xml:space="preserve"> in the 7 to 20 year planning period</w:t>
      </w:r>
      <w:r w:rsidR="00392C68" w:rsidRPr="00392C68">
        <w:t xml:space="preserve">.  These costs would be paid from </w:t>
      </w:r>
      <w:r w:rsidR="00392C68">
        <w:t>the Flood Fund, REET</w:t>
      </w:r>
      <w:r w:rsidR="0033772C">
        <w:t>, state grants and</w:t>
      </w:r>
      <w:r w:rsidR="00392C68">
        <w:t xml:space="preserve"> Birch Bay Watershed </w:t>
      </w:r>
      <w:r>
        <w:t xml:space="preserve">and </w:t>
      </w:r>
      <w:r w:rsidR="00392C68">
        <w:t xml:space="preserve">Aquatic Resource Management (BBWARM) </w:t>
      </w:r>
      <w:r>
        <w:t xml:space="preserve">District funds.  </w:t>
      </w:r>
      <w:r w:rsidR="00392C68" w:rsidRPr="00392C68">
        <w:t xml:space="preserve">The County will also monitor </w:t>
      </w:r>
      <w:r w:rsidR="00392C68">
        <w:t>the adequacy of County stormwater facilities</w:t>
      </w:r>
      <w:r w:rsidR="00392C68" w:rsidRPr="00392C68">
        <w:t xml:space="preserve"> throughout the planning period and consider </w:t>
      </w:r>
      <w:r>
        <w:t xml:space="preserve">additional </w:t>
      </w:r>
      <w:r w:rsidR="00392C68" w:rsidRPr="00392C68">
        <w:t>capital improvements and</w:t>
      </w:r>
      <w:r>
        <w:t>/or</w:t>
      </w:r>
      <w:r w:rsidR="00392C68" w:rsidRPr="00392C68">
        <w:t xml:space="preserve"> maintenance projec</w:t>
      </w:r>
      <w:r w:rsidR="00392C68">
        <w:t xml:space="preserve">ts if warranted in the future. </w:t>
      </w:r>
    </w:p>
    <w:p w:rsidR="001D28F4" w:rsidRDefault="001D28F4" w:rsidP="001D28F4">
      <w:pPr>
        <w:pStyle w:val="Caption"/>
        <w:tabs>
          <w:tab w:val="clear" w:pos="1080"/>
        </w:tabs>
        <w:ind w:left="0" w:firstLine="0"/>
      </w:pPr>
    </w:p>
    <w:p w:rsidR="001D28F4" w:rsidRDefault="001D28F4"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Default="00645FF5" w:rsidP="0010330A">
      <w:pPr>
        <w:spacing w:before="0" w:after="0"/>
        <w:rPr>
          <w:rFonts w:eastAsiaTheme="minorHAnsi"/>
          <w:szCs w:val="22"/>
        </w:rPr>
      </w:pPr>
    </w:p>
    <w:p w:rsidR="00645FF5" w:rsidRPr="0010330A" w:rsidRDefault="00645FF5" w:rsidP="0010330A">
      <w:pPr>
        <w:spacing w:before="0" w:after="0"/>
        <w:rPr>
          <w:rFonts w:eastAsiaTheme="minorHAnsi"/>
          <w:szCs w:val="22"/>
        </w:rPr>
      </w:pPr>
    </w:p>
    <w:p w:rsidR="009343E4" w:rsidRDefault="009343E4" w:rsidP="009343E4">
      <w:pPr>
        <w:pStyle w:val="TOAHeading"/>
      </w:pPr>
      <w:r>
        <w:lastRenderedPageBreak/>
        <w:t>Chapter 11 – Water Systems</w:t>
      </w:r>
    </w:p>
    <w:p w:rsidR="00215E0F" w:rsidRDefault="00215E0F" w:rsidP="00215E0F">
      <w:pPr>
        <w:pStyle w:val="Heading2"/>
      </w:pPr>
      <w:bookmarkStart w:id="26" w:name="_Toc245621849"/>
      <w:r w:rsidRPr="004D4EEB">
        <w:t>Water Systems</w:t>
      </w:r>
      <w:bookmarkEnd w:id="26"/>
    </w:p>
    <w:p w:rsidR="00215E0F" w:rsidRDefault="00A04428" w:rsidP="00215E0F">
      <w:pPr>
        <w:pStyle w:val="BodyText"/>
      </w:pPr>
      <w:r w:rsidRPr="00A04428">
        <w:t xml:space="preserve">Planning relating to public water systems is carried out in the </w:t>
      </w:r>
      <w:r w:rsidRPr="00BA1726">
        <w:rPr>
          <w:i/>
        </w:rPr>
        <w:t>Whatcom County Coordinated Water System Plan</w:t>
      </w:r>
      <w:r w:rsidRPr="00A04428">
        <w:t xml:space="preserve"> (CWSP), individual water system plans, and this Capital Facilities Plan. </w:t>
      </w:r>
      <w:r w:rsidR="005A4F74">
        <w:t>An introduction to</w:t>
      </w:r>
      <w:r w:rsidR="00012E38">
        <w:t xml:space="preserve"> the CWSP</w:t>
      </w:r>
      <w:r w:rsidR="00215E0F">
        <w:t xml:space="preserve"> is presented </w:t>
      </w:r>
      <w:r>
        <w:t xml:space="preserve">below.  </w:t>
      </w:r>
      <w:r w:rsidRPr="00A04428">
        <w:t>For purposes of this Capital Facilities Plan, wate</w:t>
      </w:r>
      <w:r w:rsidR="004601D2">
        <w:t>r systems are divided into major</w:t>
      </w:r>
      <w:r w:rsidRPr="00A04428">
        <w:t xml:space="preserve"> </w:t>
      </w:r>
      <w:r w:rsidR="004601D2">
        <w:t xml:space="preserve">systems </w:t>
      </w:r>
      <w:r w:rsidR="00012E38">
        <w:t>that serve urban growth areas (urban water s</w:t>
      </w:r>
      <w:r w:rsidRPr="00A04428">
        <w:t xml:space="preserve">ystems) and </w:t>
      </w:r>
      <w:r w:rsidR="004601D2">
        <w:t>other</w:t>
      </w:r>
      <w:r w:rsidRPr="00A04428">
        <w:t xml:space="preserve"> </w:t>
      </w:r>
      <w:r w:rsidR="004601D2">
        <w:t xml:space="preserve">systems </w:t>
      </w:r>
      <w:r w:rsidRPr="00A04428">
        <w:t>that</w:t>
      </w:r>
      <w:r w:rsidR="004601D2">
        <w:t xml:space="preserve"> have</w:t>
      </w:r>
      <w:r w:rsidRPr="00A04428">
        <w:t xml:space="preserve"> 50 or more connections.</w:t>
      </w:r>
      <w:r>
        <w:t xml:space="preserve">  This chapter addresses</w:t>
      </w:r>
      <w:r w:rsidR="00915423">
        <w:t xml:space="preserve"> urban water systems</w:t>
      </w:r>
      <w:r>
        <w:t>, including information summarized from the individual water system plans.</w:t>
      </w:r>
      <w:r w:rsidR="00215E0F">
        <w:t xml:space="preserve"> Information about </w:t>
      </w:r>
      <w:r w:rsidR="004601D2">
        <w:t xml:space="preserve">other systems with 50 or </w:t>
      </w:r>
      <w:r w:rsidR="00915423">
        <w:t xml:space="preserve">more connections </w:t>
      </w:r>
      <w:r w:rsidR="00A5006A">
        <w:t xml:space="preserve">is included in </w:t>
      </w:r>
      <w:r w:rsidR="004601D2">
        <w:t xml:space="preserve">the </w:t>
      </w:r>
      <w:r w:rsidR="004601D2" w:rsidRPr="00BA1726">
        <w:rPr>
          <w:i/>
        </w:rPr>
        <w:t>Coordinated Water System Plan</w:t>
      </w:r>
      <w:r w:rsidR="00215E0F">
        <w:t>.</w:t>
      </w:r>
    </w:p>
    <w:p w:rsidR="00215E0F" w:rsidRDefault="00215E0F" w:rsidP="00215E0F">
      <w:pPr>
        <w:pStyle w:val="Heading3"/>
      </w:pPr>
      <w:bookmarkStart w:id="27" w:name="_Toc245621850"/>
      <w:r>
        <w:t>Coordinated Water System Plan</w:t>
      </w:r>
      <w:bookmarkEnd w:id="27"/>
    </w:p>
    <w:p w:rsidR="00233583" w:rsidRDefault="00B15C8D" w:rsidP="009C390D">
      <w:pPr>
        <w:spacing w:line="276" w:lineRule="auto"/>
      </w:pPr>
      <w:r>
        <w:t>The draft</w:t>
      </w:r>
      <w:r w:rsidRPr="00D060EF">
        <w:t xml:space="preserve"> CWSP</w:t>
      </w:r>
      <w:r w:rsidR="00E4206B">
        <w:t xml:space="preserve"> (2016</w:t>
      </w:r>
      <w:r w:rsidRPr="00D060EF">
        <w:t xml:space="preserve">) is a plan for public water systems that identifies the present and future needs of the systems and sets forth means of meeting those needs in the most efficient manner possible. </w:t>
      </w:r>
      <w:r>
        <w:t xml:space="preserve"> </w:t>
      </w:r>
      <w:r w:rsidR="005A4F74">
        <w:t>The Whatcom County</w:t>
      </w:r>
      <w:r w:rsidR="009C390D" w:rsidRPr="00D060EF">
        <w:t xml:space="preserve"> Council established the planning area, called the Critical Water Supply Service Area (CWSSA), for the original CWSP effort in 1993, and retained the same area for the 2000 </w:t>
      </w:r>
      <w:r w:rsidR="00012E38">
        <w:t>CWSP update and</w:t>
      </w:r>
      <w:r w:rsidR="000735B5">
        <w:t xml:space="preserve"> the 2016 CWSP</w:t>
      </w:r>
      <w:r w:rsidR="009C390D" w:rsidRPr="00D060EF">
        <w:t xml:space="preserve"> update. The CWSSA includes all of Whatcom County west of the Mount Baker</w:t>
      </w:r>
      <w:r w:rsidR="009C390D">
        <w:t>-</w:t>
      </w:r>
      <w:r w:rsidR="009C390D" w:rsidRPr="00D060EF">
        <w:t>Snoqualmie National Forest Boundary excluding certain portions of the Lummi and Nooksack Indian reservations</w:t>
      </w:r>
      <w:r w:rsidR="009C390D">
        <w:t>.</w:t>
      </w:r>
      <w:r w:rsidR="009C390D" w:rsidRPr="00D060EF">
        <w:t xml:space="preserve"> </w:t>
      </w:r>
    </w:p>
    <w:p w:rsidR="00B15C8D" w:rsidRPr="00D060EF" w:rsidRDefault="00B15C8D" w:rsidP="009C390D">
      <w:pPr>
        <w:spacing w:line="276" w:lineRule="auto"/>
      </w:pPr>
      <w:r>
        <w:t>The</w:t>
      </w:r>
      <w:r w:rsidRPr="00D060EF">
        <w:t xml:space="preserve"> </w:t>
      </w:r>
      <w:r>
        <w:t xml:space="preserve">draft </w:t>
      </w:r>
      <w:r w:rsidRPr="00D060EF">
        <w:t>CWSP was prepared under the direction of the Water Utility Coordinating Committee (WUCC).</w:t>
      </w:r>
      <w:r>
        <w:t xml:space="preserve"> T</w:t>
      </w:r>
      <w:r w:rsidRPr="00D060EF">
        <w:t>he WUCC included representatives o</w:t>
      </w:r>
      <w:r w:rsidR="007D1F2C">
        <w:t xml:space="preserve">f </w:t>
      </w:r>
      <w:r w:rsidRPr="00D060EF">
        <w:t xml:space="preserve">individual water utilities located </w:t>
      </w:r>
      <w:r>
        <w:t>in the CWSSA with more than 50 </w:t>
      </w:r>
      <w:r w:rsidRPr="00D060EF">
        <w:t xml:space="preserve">connections that chose to participate, as well as representatives of the </w:t>
      </w:r>
      <w:r>
        <w:t xml:space="preserve">Washington </w:t>
      </w:r>
      <w:r w:rsidR="000735B5">
        <w:t>State Department of Health</w:t>
      </w:r>
      <w:r w:rsidRPr="00D060EF">
        <w:t>, Whatcom</w:t>
      </w:r>
      <w:r w:rsidR="000735B5">
        <w:t xml:space="preserve"> County Health Department</w:t>
      </w:r>
      <w:r w:rsidRPr="00D060EF">
        <w:t>, Whatcom County Planning &amp; Devel</w:t>
      </w:r>
      <w:r w:rsidR="000735B5">
        <w:t>opment Services</w:t>
      </w:r>
      <w:r w:rsidRPr="00D060EF">
        <w:t xml:space="preserve">, </w:t>
      </w:r>
      <w:r w:rsidR="000735B5">
        <w:t>Whatcom County Public Works</w:t>
      </w:r>
      <w:r w:rsidRPr="00D060EF">
        <w:t>, and the Whatcom County Council.</w:t>
      </w:r>
      <w:r>
        <w:t xml:space="preserve"> The CWSP</w:t>
      </w:r>
      <w:r w:rsidRPr="00D060EF">
        <w:t xml:space="preserve"> </w:t>
      </w:r>
      <w:r>
        <w:t>review was</w:t>
      </w:r>
      <w:r w:rsidRPr="00D060EF">
        <w:t xml:space="preserve"> conducted with the primary objective of supporting the public drinking water supply needs of </w:t>
      </w:r>
      <w:r>
        <w:t>the</w:t>
      </w:r>
      <w:r w:rsidRPr="00D060EF">
        <w:t xml:space="preserve"> County and achieving coordination between water services,</w:t>
      </w:r>
      <w:r w:rsidR="000735B5">
        <w:t xml:space="preserve"> the Growth Management Act</w:t>
      </w:r>
      <w:r w:rsidRPr="00D060EF">
        <w:t>, an</w:t>
      </w:r>
      <w:r w:rsidR="005A4F74">
        <w:t xml:space="preserve">d </w:t>
      </w:r>
      <w:r w:rsidR="000735B5">
        <w:t xml:space="preserve">the </w:t>
      </w:r>
      <w:r w:rsidR="000735B5" w:rsidRPr="000735B5">
        <w:rPr>
          <w:i/>
        </w:rPr>
        <w:t>Whatcom County</w:t>
      </w:r>
      <w:r w:rsidRPr="000735B5">
        <w:rPr>
          <w:i/>
        </w:rPr>
        <w:t xml:space="preserve"> </w:t>
      </w:r>
      <w:r w:rsidRPr="00D060EF">
        <w:rPr>
          <w:i/>
        </w:rPr>
        <w:t>Comprehensive Plan</w:t>
      </w:r>
      <w:r w:rsidRPr="00D060EF">
        <w:t>.</w:t>
      </w:r>
    </w:p>
    <w:p w:rsidR="000735B5" w:rsidRPr="00D060EF" w:rsidRDefault="000735B5" w:rsidP="00233583">
      <w:pPr>
        <w:spacing w:line="276" w:lineRule="auto"/>
      </w:pPr>
      <w:r>
        <w:t>The CWSP addresses a number of topics, includin</w:t>
      </w:r>
      <w:r w:rsidR="005A4F74">
        <w:t xml:space="preserve">g population, water demand, </w:t>
      </w:r>
      <w:r>
        <w:t>exis</w:t>
      </w:r>
      <w:r w:rsidR="0057471B">
        <w:t xml:space="preserve">ting water systems, water </w:t>
      </w:r>
      <w:r w:rsidR="007E4AE4">
        <w:t>utility</w:t>
      </w:r>
      <w:r>
        <w:t xml:space="preserve"> service a</w:t>
      </w:r>
      <w:r w:rsidRPr="00D060EF">
        <w:t>reas</w:t>
      </w:r>
      <w:r>
        <w:t>, minimum design s</w:t>
      </w:r>
      <w:r w:rsidRPr="00D060EF">
        <w:t>tandards</w:t>
      </w:r>
      <w:r>
        <w:t>, utility service review procedures, receivership of failing s</w:t>
      </w:r>
      <w:r w:rsidRPr="00D060EF">
        <w:t>ystems</w:t>
      </w:r>
      <w:r>
        <w:t>,</w:t>
      </w:r>
      <w:r w:rsidRPr="00D060EF">
        <w:t xml:space="preserve"> </w:t>
      </w:r>
      <w:r>
        <w:t>issues with potential implications for public water s</w:t>
      </w:r>
      <w:r w:rsidRPr="00D060EF">
        <w:t>ystems</w:t>
      </w:r>
      <w:r>
        <w:t>, and plan i</w:t>
      </w:r>
      <w:r w:rsidRPr="00D060EF">
        <w:t xml:space="preserve">mplementation. </w:t>
      </w:r>
    </w:p>
    <w:p w:rsidR="00A47F3E" w:rsidRDefault="009C61CC" w:rsidP="00A47F3E">
      <w:pPr>
        <w:spacing w:line="276" w:lineRule="auto"/>
      </w:pPr>
      <w:r>
        <w:t>The d</w:t>
      </w:r>
      <w:r w:rsidR="00A47F3E">
        <w:t xml:space="preserve">raft CWSP contains a water rights capacity analysis </w:t>
      </w:r>
      <w:r w:rsidR="006A5327">
        <w:t xml:space="preserve">to compare </w:t>
      </w:r>
      <w:r w:rsidR="00A47F3E" w:rsidRPr="00A06E80">
        <w:t>water system’s existing water rights</w:t>
      </w:r>
      <w:r w:rsidR="00A47F3E">
        <w:t>, and/or existing intertie agreements,</w:t>
      </w:r>
      <w:r w:rsidR="00A47F3E" w:rsidRPr="00A06E80">
        <w:t xml:space="preserve"> against current </w:t>
      </w:r>
      <w:r w:rsidR="00A47F3E">
        <w:t xml:space="preserve">and anticipated future demands </w:t>
      </w:r>
      <w:r w:rsidR="00A47F3E" w:rsidRPr="00A06E80">
        <w:t xml:space="preserve">in an effort to determine whether systems are projected to meet their future requirements, have surplus water, or have insufficient </w:t>
      </w:r>
      <w:r w:rsidR="00A47F3E">
        <w:t xml:space="preserve">future </w:t>
      </w:r>
      <w:r w:rsidR="00A47F3E" w:rsidRPr="00A06E80">
        <w:t>water rights. Based on the results of the water rights analysis (</w:t>
      </w:r>
      <w:r w:rsidR="00A47F3E">
        <w:t xml:space="preserve">which take into account existing </w:t>
      </w:r>
      <w:r w:rsidR="00A47F3E" w:rsidRPr="00A06E80">
        <w:t>intertie</w:t>
      </w:r>
      <w:r w:rsidR="00A47F3E">
        <w:t xml:space="preserve"> agreement</w:t>
      </w:r>
      <w:r w:rsidR="00A47F3E" w:rsidRPr="00A06E80">
        <w:t>s)</w:t>
      </w:r>
      <w:r w:rsidR="00A47F3E">
        <w:t>,</w:t>
      </w:r>
      <w:r w:rsidR="00A47F3E" w:rsidRPr="00A06E80">
        <w:t xml:space="preserve"> the existing and projected population</w:t>
      </w:r>
      <w:r w:rsidR="00A47F3E">
        <w:t>,</w:t>
      </w:r>
      <w:r w:rsidR="00A47F3E" w:rsidRPr="00A06E80">
        <w:t xml:space="preserve"> and the historic and projected water demand, a </w:t>
      </w:r>
      <w:r w:rsidR="00A47F3E">
        <w:t xml:space="preserve">water rights </w:t>
      </w:r>
      <w:r w:rsidR="00A47F3E" w:rsidRPr="00A06E80">
        <w:t xml:space="preserve">status </w:t>
      </w:r>
      <w:r w:rsidR="00A47F3E">
        <w:t>for</w:t>
      </w:r>
      <w:r w:rsidR="00A47F3E" w:rsidRPr="00A06E80">
        <w:t xml:space="preserve"> each Group A </w:t>
      </w:r>
      <w:r w:rsidR="00A47F3E">
        <w:t xml:space="preserve">community </w:t>
      </w:r>
      <w:r w:rsidR="00A47F3E" w:rsidRPr="00A06E80">
        <w:t>public water system</w:t>
      </w:r>
      <w:r w:rsidR="00A47F3E" w:rsidRPr="00BC4D70">
        <w:t xml:space="preserve"> </w:t>
      </w:r>
      <w:r w:rsidR="00A47F3E">
        <w:t>is assigned. Analyses prepared in the individual water system plans will be more accurate and sh</w:t>
      </w:r>
      <w:r>
        <w:t>ould be utilized if available (d</w:t>
      </w:r>
      <w:r w:rsidR="00A47F3E">
        <w:t xml:space="preserve">raft CWSP, p. 3-5 and Appendix 1). </w:t>
      </w:r>
    </w:p>
    <w:p w:rsidR="00215E0F" w:rsidRDefault="00215E0F" w:rsidP="00215E0F">
      <w:pPr>
        <w:pStyle w:val="Heading3"/>
      </w:pPr>
      <w:bookmarkStart w:id="28" w:name="_Toc245621851"/>
      <w:r>
        <w:lastRenderedPageBreak/>
        <w:t>Urban Water Systems</w:t>
      </w:r>
      <w:bookmarkEnd w:id="28"/>
    </w:p>
    <w:p w:rsidR="00215E0F" w:rsidRDefault="00215E0F" w:rsidP="00215E0F">
      <w:pPr>
        <w:pStyle w:val="Heading4"/>
      </w:pPr>
      <w:r>
        <w:t>Inventory of Current Facilities</w:t>
      </w:r>
    </w:p>
    <w:p w:rsidR="00215E0F" w:rsidRDefault="00215E0F" w:rsidP="00215E0F">
      <w:pPr>
        <w:pStyle w:val="BodyText"/>
      </w:pPr>
      <w:r>
        <w:t xml:space="preserve">This section of the </w:t>
      </w:r>
      <w:r w:rsidR="007D1F2C" w:rsidRPr="007D1F2C">
        <w:t>Capital Facilities Plan</w:t>
      </w:r>
      <w:r>
        <w:t xml:space="preserve"> inventori</w:t>
      </w:r>
      <w:r w:rsidR="007D1F2C">
        <w:t xml:space="preserve">es the </w:t>
      </w:r>
      <w:r w:rsidR="005A4F74">
        <w:t xml:space="preserve">14 </w:t>
      </w:r>
      <w:r w:rsidR="007D1F2C">
        <w:t xml:space="preserve">primary </w:t>
      </w:r>
      <w:r w:rsidR="005A4F74">
        <w:t>water systems that provide</w:t>
      </w:r>
      <w:r>
        <w:t xml:space="preserve"> water service to</w:t>
      </w:r>
      <w:r w:rsidR="007D1F2C">
        <w:t xml:space="preserve"> Whatcom County’s UGAs. The table below provi</w:t>
      </w:r>
      <w:r w:rsidR="00012E38">
        <w:t xml:space="preserve">des information relating to </w:t>
      </w:r>
      <w:r w:rsidR="007D1F2C">
        <w:t>existing connections, water rights, contracts for water, supply, storage and water sources.</w:t>
      </w:r>
    </w:p>
    <w:p w:rsidR="005A4F74" w:rsidRPr="005A4F74" w:rsidRDefault="002C0FF7" w:rsidP="00215E0F">
      <w:pPr>
        <w:pStyle w:val="BodyText"/>
        <w:rPr>
          <w:rFonts w:ascii="Arial Narrow" w:hAnsi="Arial Narrow"/>
          <w:b/>
          <w:color w:val="002060"/>
          <w:sz w:val="24"/>
        </w:rPr>
      </w:pPr>
      <w:r>
        <w:rPr>
          <w:rFonts w:ascii="Arial Narrow" w:hAnsi="Arial Narrow"/>
          <w:b/>
          <w:color w:val="002060"/>
          <w:sz w:val="24"/>
        </w:rPr>
        <w:t xml:space="preserve">Table 11.1  </w:t>
      </w:r>
      <w:r w:rsidR="005A4F74" w:rsidRPr="005A4F74">
        <w:rPr>
          <w:rFonts w:ascii="Arial Narrow" w:hAnsi="Arial Narrow"/>
          <w:b/>
          <w:color w:val="002060"/>
          <w:sz w:val="24"/>
        </w:rPr>
        <w:t>Water Supply Inventory by Service Provider</w:t>
      </w:r>
    </w:p>
    <w:p w:rsidR="005A4F74" w:rsidRDefault="001C0650" w:rsidP="00AA2720">
      <w:pPr>
        <w:pStyle w:val="BodyText"/>
        <w:jc w:val="center"/>
        <w:rPr>
          <w:noProof/>
        </w:rPr>
      </w:pPr>
      <w:r w:rsidRPr="001C0650">
        <w:rPr>
          <w:noProof/>
        </w:rPr>
        <w:drawing>
          <wp:inline distT="0" distB="0" distL="0" distR="0" wp14:anchorId="2E6BF343" wp14:editId="7E602EEC">
            <wp:extent cx="5596255" cy="1807331"/>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6255" cy="1807331"/>
                    </a:xfrm>
                    <a:prstGeom prst="rect">
                      <a:avLst/>
                    </a:prstGeom>
                    <a:noFill/>
                    <a:ln>
                      <a:noFill/>
                    </a:ln>
                  </pic:spPr>
                </pic:pic>
              </a:graphicData>
            </a:graphic>
          </wp:inline>
        </w:drawing>
      </w:r>
    </w:p>
    <w:p w:rsidR="00E01C30" w:rsidRDefault="00C44D6A" w:rsidP="005A4F74">
      <w:pPr>
        <w:rPr>
          <w:rFonts w:eastAsia="Calibri"/>
          <w:sz w:val="16"/>
          <w:szCs w:val="16"/>
        </w:rPr>
      </w:pPr>
      <w:r w:rsidRPr="00C44D6A">
        <w:rPr>
          <w:sz w:val="16"/>
          <w:szCs w:val="16"/>
        </w:rPr>
        <w:t xml:space="preserve">Source: </w:t>
      </w:r>
      <w:r w:rsidRPr="00C44D6A">
        <w:rPr>
          <w:rFonts w:eastAsia="Calibri"/>
          <w:i/>
          <w:sz w:val="16"/>
          <w:szCs w:val="16"/>
        </w:rPr>
        <w:t>Draft EIS Whatcom County 2016 Comprehensive Plan and Development Regulations Update and Urban Growth Area Review</w:t>
      </w:r>
      <w:r w:rsidRPr="00C44D6A">
        <w:rPr>
          <w:rFonts w:eastAsia="Calibri"/>
          <w:sz w:val="16"/>
          <w:szCs w:val="16"/>
        </w:rPr>
        <w:t xml:space="preserve"> (March 2015, p. 4-227)</w:t>
      </w:r>
      <w:r w:rsidR="00427286">
        <w:rPr>
          <w:rFonts w:eastAsia="Calibri"/>
          <w:sz w:val="16"/>
          <w:szCs w:val="16"/>
        </w:rPr>
        <w:t xml:space="preserve">, </w:t>
      </w:r>
      <w:r w:rsidR="00EF009A" w:rsidRPr="00EF009A">
        <w:rPr>
          <w:rFonts w:eastAsia="Calibri"/>
          <w:i/>
          <w:sz w:val="16"/>
          <w:szCs w:val="16"/>
        </w:rPr>
        <w:t>City of Bellingham Water System Plan</w:t>
      </w:r>
      <w:r w:rsidR="00EF009A">
        <w:rPr>
          <w:rFonts w:eastAsia="Calibri"/>
          <w:sz w:val="16"/>
          <w:szCs w:val="16"/>
        </w:rPr>
        <w:t xml:space="preserve"> (June 2009), </w:t>
      </w:r>
      <w:r w:rsidR="00E01C30" w:rsidRPr="00E01C30">
        <w:rPr>
          <w:rFonts w:eastAsia="Calibri"/>
          <w:i/>
          <w:sz w:val="16"/>
          <w:szCs w:val="16"/>
        </w:rPr>
        <w:t>Second Amendment to Agreement to Supply Water</w:t>
      </w:r>
      <w:r w:rsidR="00E01C30">
        <w:rPr>
          <w:rFonts w:eastAsia="Calibri"/>
          <w:sz w:val="16"/>
          <w:szCs w:val="16"/>
        </w:rPr>
        <w:t xml:space="preserve"> between Nooksack and Sumas (August 2009)</w:t>
      </w:r>
      <w:r w:rsidR="00427286">
        <w:rPr>
          <w:rFonts w:eastAsia="Calibri"/>
          <w:sz w:val="16"/>
          <w:szCs w:val="16"/>
        </w:rPr>
        <w:t xml:space="preserve">, </w:t>
      </w:r>
      <w:r w:rsidR="0061030A" w:rsidRPr="000E731C">
        <w:rPr>
          <w:rFonts w:eastAsia="Calibri"/>
          <w:sz w:val="16"/>
          <w:szCs w:val="16"/>
        </w:rPr>
        <w:t xml:space="preserve">Lake Whatcom Water and Sewer District e-mail of April 28, 2016, </w:t>
      </w:r>
      <w:r w:rsidR="00946314" w:rsidRPr="00946314">
        <w:rPr>
          <w:rFonts w:eastAsia="Calibri"/>
          <w:i/>
          <w:sz w:val="16"/>
          <w:szCs w:val="16"/>
        </w:rPr>
        <w:t>Lake Whatcom Water and Sewer District Water System Comprehensive Plan</w:t>
      </w:r>
      <w:r w:rsidR="000E731C">
        <w:rPr>
          <w:rFonts w:eastAsia="Calibri"/>
          <w:sz w:val="16"/>
          <w:szCs w:val="16"/>
        </w:rPr>
        <w:t xml:space="preserve"> (October 2010), </w:t>
      </w:r>
      <w:r w:rsidR="00427286">
        <w:rPr>
          <w:rFonts w:eastAsia="Calibri"/>
          <w:sz w:val="16"/>
          <w:szCs w:val="16"/>
        </w:rPr>
        <w:t xml:space="preserve"> the Washington Department of Health Office of Drinking Water Sentry Internet Home page (accessed April </w:t>
      </w:r>
      <w:r w:rsidR="00305917">
        <w:rPr>
          <w:rFonts w:eastAsia="Calibri"/>
          <w:sz w:val="16"/>
          <w:szCs w:val="16"/>
        </w:rPr>
        <w:t xml:space="preserve">and May </w:t>
      </w:r>
      <w:r w:rsidR="00427286">
        <w:rPr>
          <w:rFonts w:eastAsia="Calibri"/>
          <w:sz w:val="16"/>
          <w:szCs w:val="16"/>
        </w:rPr>
        <w:t>2016)</w:t>
      </w:r>
      <w:r w:rsidR="000E731C">
        <w:rPr>
          <w:rFonts w:eastAsia="Calibri"/>
          <w:sz w:val="16"/>
          <w:szCs w:val="16"/>
        </w:rPr>
        <w:t xml:space="preserve">, </w:t>
      </w:r>
      <w:r w:rsidR="00D9775F">
        <w:rPr>
          <w:rFonts w:eastAsia="Calibri"/>
          <w:sz w:val="16"/>
          <w:szCs w:val="16"/>
        </w:rPr>
        <w:t xml:space="preserve"> </w:t>
      </w:r>
      <w:r w:rsidR="000E731C">
        <w:rPr>
          <w:rFonts w:eastAsia="Calibri"/>
          <w:sz w:val="16"/>
          <w:szCs w:val="16"/>
        </w:rPr>
        <w:t>Rodney Langer (CHS Engineers) e-mail of May 3, 2016</w:t>
      </w:r>
      <w:r w:rsidR="00F6281F">
        <w:rPr>
          <w:rFonts w:eastAsia="Calibri"/>
          <w:sz w:val="16"/>
          <w:szCs w:val="16"/>
        </w:rPr>
        <w:t>, Ci</w:t>
      </w:r>
      <w:r w:rsidR="0049539B">
        <w:rPr>
          <w:rFonts w:eastAsia="Calibri"/>
          <w:sz w:val="16"/>
          <w:szCs w:val="16"/>
        </w:rPr>
        <w:t>ty of Lynden e-mail of May 10, 2016</w:t>
      </w:r>
      <w:r w:rsidR="001C0650">
        <w:rPr>
          <w:rFonts w:eastAsia="Calibri"/>
          <w:sz w:val="16"/>
          <w:szCs w:val="16"/>
        </w:rPr>
        <w:t xml:space="preserve">, </w:t>
      </w:r>
      <w:r w:rsidR="00AA2720">
        <w:rPr>
          <w:rFonts w:eastAsia="Calibri"/>
          <w:sz w:val="16"/>
          <w:szCs w:val="16"/>
        </w:rPr>
        <w:t xml:space="preserve">City of Ferndale e-mail of </w:t>
      </w:r>
      <w:r w:rsidR="0049539B">
        <w:rPr>
          <w:rFonts w:eastAsia="Calibri"/>
          <w:sz w:val="16"/>
          <w:szCs w:val="16"/>
        </w:rPr>
        <w:t>May 16, 2016</w:t>
      </w:r>
      <w:r w:rsidR="001C0650">
        <w:rPr>
          <w:rFonts w:eastAsia="Calibri"/>
          <w:sz w:val="16"/>
          <w:szCs w:val="16"/>
        </w:rPr>
        <w:t xml:space="preserve">, and City of Blaine e-mail </w:t>
      </w:r>
      <w:r w:rsidR="0049539B">
        <w:rPr>
          <w:rFonts w:eastAsia="Calibri"/>
          <w:sz w:val="16"/>
          <w:szCs w:val="16"/>
        </w:rPr>
        <w:t>of May 16, 2016</w:t>
      </w:r>
      <w:r w:rsidR="00427286">
        <w:rPr>
          <w:rFonts w:eastAsia="Calibri"/>
          <w:sz w:val="16"/>
          <w:szCs w:val="16"/>
        </w:rPr>
        <w:t>.</w:t>
      </w:r>
      <w:r w:rsidRPr="00C44D6A">
        <w:rPr>
          <w:rFonts w:eastAsia="Calibri"/>
          <w:sz w:val="16"/>
          <w:szCs w:val="16"/>
        </w:rPr>
        <w:t xml:space="preserve"> </w:t>
      </w:r>
    </w:p>
    <w:p w:rsidR="005A4F74" w:rsidRPr="00C44D6A" w:rsidRDefault="005A4F74" w:rsidP="005A4F74">
      <w:pPr>
        <w:rPr>
          <w:sz w:val="16"/>
          <w:szCs w:val="16"/>
        </w:rPr>
      </w:pPr>
      <w:r w:rsidRPr="00C44D6A">
        <w:rPr>
          <w:sz w:val="16"/>
          <w:szCs w:val="16"/>
        </w:rPr>
        <w:t>Notes:</w:t>
      </w:r>
    </w:p>
    <w:p w:rsidR="005A4F74" w:rsidRPr="005A4F74" w:rsidRDefault="005A4F74" w:rsidP="005A4F74">
      <w:pPr>
        <w:pStyle w:val="ListParagraph"/>
        <w:numPr>
          <w:ilvl w:val="0"/>
          <w:numId w:val="43"/>
        </w:numPr>
        <w:ind w:left="450"/>
        <w:rPr>
          <w:rFonts w:ascii="Times New Roman" w:hAnsi="Times New Roman"/>
          <w:sz w:val="16"/>
          <w:szCs w:val="16"/>
        </w:rPr>
      </w:pPr>
      <w:r w:rsidRPr="005A4F74">
        <w:rPr>
          <w:rFonts w:ascii="Times New Roman" w:hAnsi="Times New Roman"/>
          <w:sz w:val="16"/>
          <w:szCs w:val="16"/>
        </w:rPr>
        <w:t>All water quantity metrics expressed in millions of gallons per day (mgd), except storage capacity which is million gallons (mg).</w:t>
      </w:r>
    </w:p>
    <w:p w:rsidR="00212545" w:rsidRDefault="00212545" w:rsidP="00212545">
      <w:pPr>
        <w:pStyle w:val="ListParagraph"/>
        <w:ind w:left="450"/>
        <w:rPr>
          <w:rFonts w:ascii="Times New Roman" w:hAnsi="Times New Roman"/>
          <w:sz w:val="16"/>
          <w:szCs w:val="16"/>
        </w:rPr>
      </w:pPr>
    </w:p>
    <w:p w:rsidR="005A4F74" w:rsidRPr="005A4F74" w:rsidRDefault="005A4F74" w:rsidP="005A4F74">
      <w:pPr>
        <w:pStyle w:val="ListParagraph"/>
        <w:numPr>
          <w:ilvl w:val="0"/>
          <w:numId w:val="43"/>
        </w:numPr>
        <w:ind w:left="450"/>
        <w:rPr>
          <w:rFonts w:ascii="Times New Roman" w:hAnsi="Times New Roman"/>
          <w:sz w:val="16"/>
          <w:szCs w:val="16"/>
        </w:rPr>
      </w:pPr>
      <w:r w:rsidRPr="005A4F74">
        <w:rPr>
          <w:rFonts w:ascii="Times New Roman" w:hAnsi="Times New Roman"/>
          <w:sz w:val="16"/>
          <w:szCs w:val="16"/>
        </w:rPr>
        <w:t>Available supply is the sum of water rights and contracts. It represents the total supply available to serve a provider's own customers.</w:t>
      </w:r>
    </w:p>
    <w:p w:rsidR="00212545" w:rsidRDefault="00212545" w:rsidP="00212545">
      <w:pPr>
        <w:pStyle w:val="ListParagraph"/>
        <w:ind w:left="450"/>
        <w:rPr>
          <w:rFonts w:ascii="Times New Roman" w:hAnsi="Times New Roman"/>
          <w:sz w:val="16"/>
          <w:szCs w:val="16"/>
        </w:rPr>
      </w:pPr>
    </w:p>
    <w:p w:rsidR="005A4F74" w:rsidRPr="005A4F74" w:rsidRDefault="005A4F74" w:rsidP="005A4F74">
      <w:pPr>
        <w:pStyle w:val="ListParagraph"/>
        <w:numPr>
          <w:ilvl w:val="0"/>
          <w:numId w:val="43"/>
        </w:numPr>
        <w:ind w:left="450"/>
        <w:rPr>
          <w:rFonts w:ascii="Times New Roman" w:hAnsi="Times New Roman"/>
          <w:sz w:val="16"/>
          <w:szCs w:val="16"/>
        </w:rPr>
      </w:pPr>
      <w:r w:rsidRPr="005A4F74">
        <w:rPr>
          <w:rFonts w:ascii="Times New Roman" w:hAnsi="Times New Roman"/>
          <w:sz w:val="16"/>
          <w:szCs w:val="16"/>
        </w:rPr>
        <w:t>Contracted water numbers in parentheses indicate contracts to provide water to other systems. Such contracts are subtracted from the provider's water rights to calculate available supply.</w:t>
      </w:r>
    </w:p>
    <w:p w:rsidR="00212545" w:rsidRDefault="00212545" w:rsidP="00212545">
      <w:pPr>
        <w:pStyle w:val="ListParagraph"/>
        <w:ind w:left="450"/>
        <w:rPr>
          <w:rFonts w:ascii="Times New Roman" w:hAnsi="Times New Roman"/>
          <w:sz w:val="16"/>
          <w:szCs w:val="16"/>
        </w:rPr>
      </w:pPr>
    </w:p>
    <w:p w:rsidR="005A4F74" w:rsidRDefault="005A4F74" w:rsidP="005A4F74">
      <w:pPr>
        <w:pStyle w:val="ListParagraph"/>
        <w:numPr>
          <w:ilvl w:val="0"/>
          <w:numId w:val="43"/>
        </w:numPr>
        <w:ind w:left="450"/>
        <w:rPr>
          <w:rFonts w:ascii="Times New Roman" w:hAnsi="Times New Roman"/>
          <w:sz w:val="16"/>
          <w:szCs w:val="16"/>
        </w:rPr>
      </w:pPr>
      <w:r w:rsidRPr="005A4F74">
        <w:rPr>
          <w:rFonts w:ascii="Times New Roman" w:hAnsi="Times New Roman"/>
          <w:sz w:val="16"/>
          <w:szCs w:val="16"/>
        </w:rPr>
        <w:t>This table does not provide a full accounting of all contracts to provide water to other systems. Rather it notes all contracts discovered when analyzing available water supply for these larger providers.</w:t>
      </w:r>
    </w:p>
    <w:p w:rsidR="00E01C30" w:rsidRPr="005A4F74" w:rsidRDefault="00E01C30" w:rsidP="00E01C30">
      <w:pPr>
        <w:pStyle w:val="ListParagraph"/>
        <w:ind w:left="450"/>
        <w:rPr>
          <w:rFonts w:ascii="Times New Roman" w:hAnsi="Times New Roman"/>
          <w:sz w:val="16"/>
          <w:szCs w:val="16"/>
        </w:rPr>
      </w:pPr>
    </w:p>
    <w:p w:rsidR="005A4F74" w:rsidRPr="005A4F74" w:rsidRDefault="005A4F74" w:rsidP="005A4F74">
      <w:pPr>
        <w:rPr>
          <w:sz w:val="16"/>
          <w:szCs w:val="16"/>
        </w:rPr>
      </w:pPr>
      <w:r w:rsidRPr="005A4F74">
        <w:rPr>
          <w:sz w:val="16"/>
          <w:szCs w:val="16"/>
        </w:rPr>
        <w:t>1. BBWSD has two water rights which are shared in a single system with City of Blaine. Therefore these rights are counted under City of Blaine's water rights and available supply.</w:t>
      </w:r>
    </w:p>
    <w:p w:rsidR="005A4F74" w:rsidRPr="005A4F74" w:rsidRDefault="005A4F74" w:rsidP="005A4F74">
      <w:pPr>
        <w:rPr>
          <w:sz w:val="16"/>
          <w:szCs w:val="16"/>
        </w:rPr>
      </w:pPr>
      <w:r w:rsidRPr="005A4F74">
        <w:rPr>
          <w:sz w:val="16"/>
          <w:szCs w:val="16"/>
        </w:rPr>
        <w:t xml:space="preserve">2. See note #1 regarding BBWSD water rights.  </w:t>
      </w:r>
    </w:p>
    <w:p w:rsidR="005A4F74" w:rsidRPr="005A4F74" w:rsidRDefault="005A4F74" w:rsidP="005A4F74">
      <w:pPr>
        <w:rPr>
          <w:sz w:val="16"/>
          <w:szCs w:val="16"/>
        </w:rPr>
      </w:pPr>
      <w:r w:rsidRPr="005A4F74">
        <w:rPr>
          <w:sz w:val="16"/>
          <w:szCs w:val="16"/>
        </w:rPr>
        <w:t>3. Water rights in this table are based on City of Lynden's interpretation which differs from the Department of Ecology’s interpretation.</w:t>
      </w:r>
    </w:p>
    <w:p w:rsidR="005A4F74" w:rsidRDefault="00212545" w:rsidP="005A4F74">
      <w:r>
        <w:rPr>
          <w:sz w:val="16"/>
          <w:szCs w:val="16"/>
        </w:rPr>
        <w:t>4</w:t>
      </w:r>
      <w:r w:rsidR="005A4F74" w:rsidRPr="005A4F74">
        <w:rPr>
          <w:sz w:val="16"/>
          <w:szCs w:val="16"/>
        </w:rPr>
        <w:t xml:space="preserve">. </w:t>
      </w:r>
      <w:r>
        <w:rPr>
          <w:sz w:val="16"/>
          <w:szCs w:val="16"/>
        </w:rPr>
        <w:t xml:space="preserve">The </w:t>
      </w:r>
      <w:r w:rsidR="005A4F74" w:rsidRPr="005A4F74">
        <w:rPr>
          <w:sz w:val="16"/>
          <w:szCs w:val="16"/>
        </w:rPr>
        <w:t>City of Bellingham provide</w:t>
      </w:r>
      <w:r w:rsidR="007D1F2C">
        <w:rPr>
          <w:sz w:val="16"/>
          <w:szCs w:val="16"/>
        </w:rPr>
        <w:t>s</w:t>
      </w:r>
      <w:r w:rsidR="005A4F74" w:rsidRPr="005A4F74">
        <w:rPr>
          <w:sz w:val="16"/>
          <w:szCs w:val="16"/>
        </w:rPr>
        <w:t xml:space="preserve"> both water and storage capacity to Water District 2.</w:t>
      </w:r>
    </w:p>
    <w:p w:rsidR="00BB2352" w:rsidRDefault="00BB2352" w:rsidP="00215E0F">
      <w:pPr>
        <w:pStyle w:val="Heading4"/>
      </w:pPr>
    </w:p>
    <w:p w:rsidR="00BB2352" w:rsidRDefault="00BB2352" w:rsidP="00BB2352">
      <w:pPr>
        <w:pStyle w:val="BodyText"/>
      </w:pPr>
    </w:p>
    <w:p w:rsidR="00AC0439" w:rsidRPr="00BB2352" w:rsidRDefault="00AC0439" w:rsidP="00BB2352">
      <w:pPr>
        <w:pStyle w:val="BodyText"/>
      </w:pPr>
    </w:p>
    <w:p w:rsidR="00215E0F" w:rsidRDefault="00BA1726" w:rsidP="00215E0F">
      <w:pPr>
        <w:pStyle w:val="Heading4"/>
      </w:pPr>
      <w:r>
        <w:lastRenderedPageBreak/>
        <w:t>Future Needs</w:t>
      </w:r>
    </w:p>
    <w:p w:rsidR="00215E0F" w:rsidRDefault="007D1F2C" w:rsidP="00215E0F">
      <w:pPr>
        <w:pStyle w:val="BodyText"/>
      </w:pPr>
      <w:r>
        <w:t>Water system plans</w:t>
      </w:r>
      <w:r w:rsidR="00215E0F">
        <w:t xml:space="preserve"> provide a </w:t>
      </w:r>
      <w:r>
        <w:t xml:space="preserve">design </w:t>
      </w:r>
      <w:r w:rsidR="00012E38">
        <w:t xml:space="preserve">standard, generally expressed </w:t>
      </w:r>
      <w:r w:rsidR="006F69F3">
        <w:t xml:space="preserve">as water consumption in </w:t>
      </w:r>
      <w:r w:rsidR="00012E38">
        <w:t>gallons/</w:t>
      </w:r>
      <w:r w:rsidR="006F69F3">
        <w:t>day per equivalent residential unit</w:t>
      </w:r>
      <w:r w:rsidR="00012E38">
        <w:t xml:space="preserve"> </w:t>
      </w:r>
      <w:r w:rsidR="00215E0F">
        <w:t>(</w:t>
      </w:r>
      <w:r w:rsidR="006F69F3">
        <w:t>ERU)</w:t>
      </w:r>
      <w:r w:rsidR="00215E0F">
        <w:t>. When applyin</w:t>
      </w:r>
      <w:r w:rsidR="00653563">
        <w:t xml:space="preserve">g this standard to </w:t>
      </w:r>
      <w:r w:rsidR="00012E38">
        <w:t>growth projections</w:t>
      </w:r>
      <w:r w:rsidR="00215E0F">
        <w:t>, and comparing</w:t>
      </w:r>
      <w:r>
        <w:t xml:space="preserve"> to the water source capacity</w:t>
      </w:r>
      <w:r w:rsidR="00215E0F">
        <w:t>, a water system provider can obtain a sense for how planned growth will affect water service into the future.</w:t>
      </w:r>
    </w:p>
    <w:p w:rsidR="002C0FF7" w:rsidRDefault="006F69F3" w:rsidP="00C259CB">
      <w:pPr>
        <w:pStyle w:val="BodyText"/>
      </w:pPr>
      <w:r>
        <w:t>W</w:t>
      </w:r>
      <w:r w:rsidR="00215E0F">
        <w:t>ater service provider</w:t>
      </w:r>
      <w:r>
        <w:t xml:space="preserve">s </w:t>
      </w:r>
      <w:r w:rsidR="00215E0F">
        <w:t>pr</w:t>
      </w:r>
      <w:r>
        <w:t xml:space="preserve">epare </w:t>
      </w:r>
      <w:r w:rsidR="007D1F2C">
        <w:t>water system plan</w:t>
      </w:r>
      <w:r>
        <w:t>s</w:t>
      </w:r>
      <w:r w:rsidR="007D1F2C">
        <w:t xml:space="preserve"> including</w:t>
      </w:r>
      <w:r w:rsidR="00215E0F">
        <w:t xml:space="preserve"> a program of capital improvements that address the system’s anticipated needs within their designated water service area, consistent with local land use plans. </w:t>
      </w:r>
      <w:r w:rsidR="001F7D99">
        <w:t xml:space="preserve"> </w:t>
      </w:r>
      <w:r w:rsidR="00E62109">
        <w:t xml:space="preserve">The table below identifies </w:t>
      </w:r>
      <w:r w:rsidR="001F7D99">
        <w:t>the purveyor’s</w:t>
      </w:r>
      <w:r>
        <w:t xml:space="preserve"> </w:t>
      </w:r>
      <w:r w:rsidR="00012E38">
        <w:t xml:space="preserve">design </w:t>
      </w:r>
      <w:r w:rsidR="00215E0F">
        <w:t>standards</w:t>
      </w:r>
      <w:r w:rsidR="002D69E9">
        <w:t xml:space="preserve">. </w:t>
      </w:r>
    </w:p>
    <w:p w:rsidR="002C0FF7" w:rsidRPr="002C0FF7" w:rsidRDefault="002C0FF7" w:rsidP="00C259CB">
      <w:pPr>
        <w:pStyle w:val="BodyText"/>
        <w:rPr>
          <w:rFonts w:ascii="Arial Narrow" w:hAnsi="Arial Narrow"/>
          <w:b/>
          <w:color w:val="002060"/>
          <w:sz w:val="24"/>
        </w:rPr>
      </w:pPr>
      <w:r>
        <w:rPr>
          <w:rFonts w:ascii="Arial Narrow" w:hAnsi="Arial Narrow"/>
          <w:b/>
          <w:color w:val="002060"/>
          <w:sz w:val="24"/>
        </w:rPr>
        <w:t>Table 11.2 Design Standard</w:t>
      </w:r>
      <w:r w:rsidR="0016410F">
        <w:rPr>
          <w:rFonts w:ascii="Arial Narrow" w:hAnsi="Arial Narrow"/>
          <w:b/>
          <w:color w:val="002060"/>
          <w:sz w:val="24"/>
        </w:rPr>
        <w:t>s</w:t>
      </w:r>
    </w:p>
    <w:p w:rsidR="00C259CB" w:rsidRPr="00C259CB" w:rsidRDefault="00C259CB" w:rsidP="00C259CB">
      <w:pPr>
        <w:pStyle w:val="BodyText"/>
        <w:rPr>
          <w:b/>
          <w:u w:val="single"/>
        </w:rPr>
      </w:pPr>
      <w:r w:rsidRPr="00C259CB">
        <w:rPr>
          <w:b/>
          <w:u w:val="single"/>
        </w:rPr>
        <w:t>Service Provider</w:t>
      </w:r>
      <w:r w:rsidRPr="00C259CB">
        <w:rPr>
          <w:b/>
          <w:u w:val="single"/>
        </w:rPr>
        <w:tab/>
      </w:r>
      <w:r w:rsidRPr="00C259CB">
        <w:rPr>
          <w:b/>
          <w:u w:val="single"/>
        </w:rPr>
        <w:tab/>
      </w:r>
      <w:r w:rsidRPr="00C259CB">
        <w:rPr>
          <w:b/>
          <w:u w:val="single"/>
        </w:rPr>
        <w:tab/>
      </w:r>
      <w:r w:rsidRPr="00C259CB">
        <w:rPr>
          <w:b/>
          <w:u w:val="single"/>
        </w:rPr>
        <w:tab/>
      </w:r>
      <w:r w:rsidRPr="00C259CB">
        <w:rPr>
          <w:b/>
          <w:u w:val="single"/>
        </w:rPr>
        <w:tab/>
      </w:r>
      <w:r w:rsidR="002C0FF7">
        <w:rPr>
          <w:b/>
          <w:u w:val="single"/>
        </w:rPr>
        <w:t>Design Standard</w:t>
      </w:r>
      <w:r w:rsidR="0016410F">
        <w:rPr>
          <w:b/>
          <w:u w:val="single"/>
        </w:rPr>
        <w:t>s</w:t>
      </w:r>
      <w:r w:rsidRPr="00C259CB">
        <w:rPr>
          <w:b/>
          <w:u w:val="single"/>
        </w:rPr>
        <w:t xml:space="preserve">  </w:t>
      </w:r>
    </w:p>
    <w:p w:rsidR="00C259CB" w:rsidRPr="00C259CB" w:rsidRDefault="00C259CB" w:rsidP="005A4F74">
      <w:pPr>
        <w:pStyle w:val="BodyText"/>
        <w:spacing w:line="240" w:lineRule="auto"/>
      </w:pPr>
      <w:r w:rsidRPr="00C259CB">
        <w:t>Birch B</w:t>
      </w:r>
      <w:r>
        <w:t>a</w:t>
      </w:r>
      <w:r w:rsidR="000E731C">
        <w:t>y Water and Sewer District</w:t>
      </w:r>
      <w:r w:rsidR="000E731C">
        <w:tab/>
      </w:r>
      <w:r w:rsidR="000E731C">
        <w:tab/>
        <w:t xml:space="preserve">      116-135</w:t>
      </w:r>
      <w:r>
        <w:tab/>
        <w:t>gallons/</w:t>
      </w:r>
      <w:r w:rsidR="00076338">
        <w:t xml:space="preserve">day per </w:t>
      </w:r>
      <w:r>
        <w:t>ERU</w:t>
      </w:r>
    </w:p>
    <w:p w:rsidR="00C259CB" w:rsidRPr="00C259CB" w:rsidRDefault="00C259CB" w:rsidP="005A4F74">
      <w:pPr>
        <w:pStyle w:val="BodyText"/>
        <w:spacing w:line="240" w:lineRule="auto"/>
      </w:pPr>
      <w:r>
        <w:t>City of Bellingham</w:t>
      </w:r>
      <w:r>
        <w:tab/>
      </w:r>
      <w:r>
        <w:tab/>
      </w:r>
      <w:r>
        <w:tab/>
      </w:r>
      <w:r>
        <w:tab/>
      </w:r>
      <w:r>
        <w:tab/>
        <w:t>199</w:t>
      </w:r>
      <w:r w:rsidRPr="00C259CB">
        <w:tab/>
      </w:r>
      <w:r w:rsidR="00076338">
        <w:t>gallons/day per ERU</w:t>
      </w:r>
    </w:p>
    <w:p w:rsidR="00C259CB" w:rsidRPr="00C259CB" w:rsidRDefault="00C259CB" w:rsidP="005A4F74">
      <w:pPr>
        <w:pStyle w:val="BodyText"/>
        <w:spacing w:line="240" w:lineRule="auto"/>
      </w:pPr>
      <w:r>
        <w:t>City of Blaine</w:t>
      </w:r>
      <w:r>
        <w:tab/>
      </w:r>
      <w:r>
        <w:tab/>
      </w:r>
      <w:r>
        <w:tab/>
      </w:r>
      <w:r>
        <w:tab/>
      </w:r>
      <w:r>
        <w:tab/>
      </w:r>
      <w:r>
        <w:tab/>
      </w:r>
      <w:r w:rsidR="0049539B">
        <w:t>165</w:t>
      </w:r>
      <w:r w:rsidRPr="00C259CB">
        <w:tab/>
      </w:r>
      <w:r w:rsidR="00076338">
        <w:t>gallons/day per ERU</w:t>
      </w:r>
    </w:p>
    <w:p w:rsidR="00C259CB" w:rsidRPr="00C259CB" w:rsidRDefault="00C259CB" w:rsidP="005A4F74">
      <w:pPr>
        <w:pStyle w:val="BodyText"/>
        <w:spacing w:line="240" w:lineRule="auto"/>
      </w:pPr>
      <w:r>
        <w:t>City of Everson</w:t>
      </w:r>
      <w:r>
        <w:tab/>
      </w:r>
      <w:r>
        <w:tab/>
      </w:r>
      <w:r>
        <w:tab/>
      </w:r>
      <w:r>
        <w:tab/>
      </w:r>
      <w:r>
        <w:tab/>
      </w:r>
      <w:r>
        <w:tab/>
        <w:t>250</w:t>
      </w:r>
      <w:r w:rsidRPr="00C259CB">
        <w:tab/>
      </w:r>
      <w:r w:rsidR="00076338">
        <w:t>gallons/day per ERU</w:t>
      </w:r>
    </w:p>
    <w:p w:rsidR="00C259CB" w:rsidRPr="00C259CB" w:rsidRDefault="00AA2720" w:rsidP="005A4F74">
      <w:pPr>
        <w:pStyle w:val="BodyText"/>
        <w:spacing w:line="240" w:lineRule="auto"/>
      </w:pPr>
      <w:r>
        <w:t>City of Ferndale</w:t>
      </w:r>
      <w:r>
        <w:tab/>
      </w:r>
      <w:r>
        <w:tab/>
      </w:r>
      <w:r>
        <w:tab/>
      </w:r>
      <w:r>
        <w:tab/>
      </w:r>
      <w:r>
        <w:tab/>
        <w:t>175</w:t>
      </w:r>
      <w:r w:rsidR="00C259CB" w:rsidRPr="00C259CB">
        <w:tab/>
      </w:r>
      <w:r w:rsidR="00076338">
        <w:t>gallons/day per ERU</w:t>
      </w:r>
    </w:p>
    <w:p w:rsidR="00C259CB" w:rsidRDefault="00C259CB" w:rsidP="005A4F74">
      <w:pPr>
        <w:pStyle w:val="BodyText"/>
        <w:spacing w:line="240" w:lineRule="auto"/>
      </w:pPr>
      <w:r>
        <w:t>City of Lynden</w:t>
      </w:r>
      <w:r w:rsidR="00131DBB">
        <w:tab/>
      </w:r>
      <w:r w:rsidR="00131DBB">
        <w:tab/>
      </w:r>
      <w:r w:rsidR="00131DBB">
        <w:tab/>
        <w:t>`</w:t>
      </w:r>
      <w:r w:rsidR="00131DBB">
        <w:tab/>
      </w:r>
      <w:r w:rsidR="00131DBB">
        <w:tab/>
      </w:r>
      <w:r w:rsidR="00131DBB">
        <w:tab/>
        <w:t>21</w:t>
      </w:r>
      <w:r w:rsidR="00CA4EE5">
        <w:t>6</w:t>
      </w:r>
      <w:r w:rsidR="00CA4EE5">
        <w:tab/>
      </w:r>
      <w:r w:rsidR="00076338">
        <w:t>gallons/day per ERU</w:t>
      </w:r>
    </w:p>
    <w:p w:rsidR="00C259CB" w:rsidRPr="00C259CB" w:rsidRDefault="00C259CB" w:rsidP="005A4F74">
      <w:pPr>
        <w:pStyle w:val="BodyText"/>
        <w:spacing w:line="240" w:lineRule="auto"/>
      </w:pPr>
      <w:r w:rsidRPr="00C259CB">
        <w:t xml:space="preserve">City </w:t>
      </w:r>
      <w:r>
        <w:t>of Nooksack</w:t>
      </w:r>
      <w:r>
        <w:tab/>
      </w:r>
      <w:r>
        <w:tab/>
      </w:r>
      <w:r>
        <w:tab/>
      </w:r>
      <w:r>
        <w:tab/>
      </w:r>
      <w:r>
        <w:tab/>
      </w:r>
      <w:r w:rsidR="002D1334">
        <w:t>175</w:t>
      </w:r>
      <w:r w:rsidRPr="00C259CB">
        <w:tab/>
      </w:r>
      <w:r w:rsidR="00076338">
        <w:t>gallons/day per ERU</w:t>
      </w:r>
    </w:p>
    <w:p w:rsidR="00C259CB" w:rsidRPr="00C259CB" w:rsidRDefault="00CA4EE5" w:rsidP="005A4F74">
      <w:pPr>
        <w:pStyle w:val="BodyText"/>
        <w:spacing w:line="240" w:lineRule="auto"/>
      </w:pPr>
      <w:r>
        <w:t>City of Sumas</w:t>
      </w:r>
      <w:r>
        <w:tab/>
      </w:r>
      <w:r>
        <w:tab/>
      </w:r>
      <w:r>
        <w:tab/>
      </w:r>
      <w:r>
        <w:tab/>
      </w:r>
      <w:r>
        <w:tab/>
      </w:r>
      <w:r>
        <w:tab/>
      </w:r>
      <w:r w:rsidRPr="00D0286C">
        <w:t>282</w:t>
      </w:r>
      <w:r w:rsidR="00C259CB" w:rsidRPr="00C259CB">
        <w:tab/>
      </w:r>
      <w:r w:rsidR="00076338">
        <w:t>gallons/day per ERU</w:t>
      </w:r>
    </w:p>
    <w:p w:rsidR="00CA4EE5" w:rsidRDefault="00CA4EE5" w:rsidP="005A4F74">
      <w:pPr>
        <w:pStyle w:val="BodyText"/>
        <w:spacing w:line="240" w:lineRule="auto"/>
      </w:pPr>
      <w:r>
        <w:t>Columbia Valley Water District</w:t>
      </w:r>
      <w:r>
        <w:tab/>
      </w:r>
      <w:r>
        <w:tab/>
      </w:r>
      <w:r>
        <w:tab/>
      </w:r>
      <w:r>
        <w:tab/>
        <w:t>215</w:t>
      </w:r>
      <w:r>
        <w:tab/>
      </w:r>
      <w:r w:rsidR="00076338">
        <w:t>gallons/day per ERU</w:t>
      </w:r>
    </w:p>
    <w:p w:rsidR="00C259CB" w:rsidRPr="00C259CB" w:rsidRDefault="00C259CB" w:rsidP="005A4F74">
      <w:pPr>
        <w:pStyle w:val="BodyText"/>
        <w:spacing w:line="240" w:lineRule="auto"/>
      </w:pPr>
      <w:r w:rsidRPr="00C259CB">
        <w:t>Lake Whatc</w:t>
      </w:r>
      <w:r w:rsidR="00CA4EE5">
        <w:t>om Water and</w:t>
      </w:r>
      <w:r w:rsidR="005E00D9">
        <w:t xml:space="preserve"> Sewer District</w:t>
      </w:r>
      <w:r w:rsidR="005E00D9">
        <w:tab/>
        <w:t xml:space="preserve">       150-250</w:t>
      </w:r>
      <w:r w:rsidRPr="00C259CB">
        <w:tab/>
      </w:r>
      <w:r w:rsidR="00076338">
        <w:t>gallons/day per ERU</w:t>
      </w:r>
    </w:p>
    <w:p w:rsidR="00CA4EE5" w:rsidRDefault="00E52305" w:rsidP="005A4F74">
      <w:pPr>
        <w:pStyle w:val="BodyText"/>
        <w:spacing w:line="240" w:lineRule="auto"/>
      </w:pPr>
      <w:r>
        <w:t>PUD No. 1</w:t>
      </w:r>
      <w:r>
        <w:tab/>
      </w:r>
      <w:r>
        <w:tab/>
      </w:r>
      <w:r>
        <w:tab/>
      </w:r>
      <w:r>
        <w:tab/>
      </w:r>
      <w:r>
        <w:tab/>
      </w:r>
      <w:r>
        <w:tab/>
        <w:t>N/A</w:t>
      </w:r>
      <w:r>
        <w:rPr>
          <w:vertAlign w:val="superscript"/>
        </w:rPr>
        <w:t>1</w:t>
      </w:r>
      <w:r w:rsidR="00CA4EE5">
        <w:tab/>
      </w:r>
    </w:p>
    <w:p w:rsidR="00CA4EE5" w:rsidRDefault="00CA4EE5" w:rsidP="005A4F74">
      <w:pPr>
        <w:pStyle w:val="BodyText"/>
        <w:spacing w:line="240" w:lineRule="auto"/>
      </w:pPr>
      <w:r>
        <w:t>Water District 2</w:t>
      </w:r>
      <w:r>
        <w:tab/>
      </w:r>
      <w:r>
        <w:tab/>
      </w:r>
      <w:r>
        <w:tab/>
      </w:r>
      <w:r>
        <w:tab/>
      </w:r>
      <w:r>
        <w:tab/>
      </w:r>
      <w:r>
        <w:tab/>
        <w:t>170</w:t>
      </w:r>
      <w:r>
        <w:tab/>
      </w:r>
      <w:r w:rsidR="00076338">
        <w:t>gallons/day per ERU</w:t>
      </w:r>
    </w:p>
    <w:p w:rsidR="00CA4EE5" w:rsidRDefault="00CA4EE5" w:rsidP="005A4F74">
      <w:pPr>
        <w:pStyle w:val="BodyText"/>
        <w:spacing w:line="240" w:lineRule="auto"/>
      </w:pPr>
      <w:r>
        <w:t>Water District 7</w:t>
      </w:r>
      <w:r>
        <w:tab/>
      </w:r>
      <w:r>
        <w:tab/>
      </w:r>
      <w:r>
        <w:tab/>
      </w:r>
      <w:r>
        <w:tab/>
      </w:r>
      <w:r>
        <w:tab/>
      </w:r>
      <w:r>
        <w:tab/>
        <w:t>214</w:t>
      </w:r>
      <w:r>
        <w:tab/>
      </w:r>
      <w:r w:rsidR="00076338">
        <w:t>gallons/day per ERU</w:t>
      </w:r>
    </w:p>
    <w:p w:rsidR="00CA4EE5" w:rsidRDefault="00CA4EE5" w:rsidP="005A4F74">
      <w:pPr>
        <w:pStyle w:val="BodyText"/>
        <w:spacing w:line="240" w:lineRule="auto"/>
      </w:pPr>
      <w:r>
        <w:t>Water District 13</w:t>
      </w:r>
      <w:r>
        <w:tab/>
      </w:r>
      <w:r>
        <w:tab/>
      </w:r>
      <w:r>
        <w:tab/>
      </w:r>
      <w:r>
        <w:tab/>
      </w:r>
      <w:r>
        <w:tab/>
        <w:t>239</w:t>
      </w:r>
      <w:r w:rsidR="00C259CB" w:rsidRPr="00C259CB">
        <w:tab/>
      </w:r>
      <w:r w:rsidR="00076338">
        <w:t>gallons/day per ERU</w:t>
      </w:r>
      <w:r w:rsidRPr="00CA4EE5">
        <w:t xml:space="preserve"> </w:t>
      </w:r>
    </w:p>
    <w:p w:rsidR="009C390D" w:rsidRDefault="00E52305" w:rsidP="009C390D">
      <w:pPr>
        <w:pStyle w:val="TableNotes"/>
        <w:rPr>
          <w:noProof/>
        </w:rPr>
      </w:pPr>
      <w:r>
        <w:t>1</w:t>
      </w:r>
      <w:r>
        <w:tab/>
        <w:t>PUD No. 1 serves industrial and commercial properties.</w:t>
      </w:r>
    </w:p>
    <w:p w:rsidR="00E62109" w:rsidRDefault="00AF0F94" w:rsidP="00E62109">
      <w:pPr>
        <w:pStyle w:val="Heading4"/>
      </w:pPr>
      <w:r>
        <w:t>Population</w:t>
      </w:r>
    </w:p>
    <w:p w:rsidR="001F7D99" w:rsidRDefault="00CA4EE5" w:rsidP="00215E0F">
      <w:pPr>
        <w:pStyle w:val="BodyText"/>
      </w:pPr>
      <w:r>
        <w:t>The table below</w:t>
      </w:r>
      <w:r w:rsidR="00215E0F">
        <w:t xml:space="preserve"> provides an overview of the planning horizon year and horizon year </w:t>
      </w:r>
      <w:r w:rsidR="007D1F2C">
        <w:t xml:space="preserve">population for the latest </w:t>
      </w:r>
      <w:r w:rsidR="00215E0F">
        <w:t>water system plans in comparison to</w:t>
      </w:r>
      <w:r>
        <w:t xml:space="preserve"> Whatcom </w:t>
      </w:r>
      <w:r w:rsidR="007D1F2C">
        <w:t>County Comprehensive Plan’s</w:t>
      </w:r>
      <w:r w:rsidR="00215E0F">
        <w:t xml:space="preserve"> population projections</w:t>
      </w:r>
      <w:r w:rsidR="007D1F2C">
        <w:t xml:space="preserve"> for the year 2036</w:t>
      </w:r>
      <w:r w:rsidR="00215E0F">
        <w:t xml:space="preserve">. As can be seen by a review of the table, most urban water systems plan conservatively for drinking water needs, particularly given the time it takes to seek new water supplies to serve growth. </w:t>
      </w:r>
    </w:p>
    <w:p w:rsidR="00E62109" w:rsidRDefault="0016410F" w:rsidP="00E62109">
      <w:pPr>
        <w:pStyle w:val="Caption"/>
      </w:pPr>
      <w:bookmarkStart w:id="29" w:name="_Toc245621952"/>
      <w:r>
        <w:lastRenderedPageBreak/>
        <w:t xml:space="preserve">Table 11.3  </w:t>
      </w:r>
      <w:r w:rsidR="00E62109">
        <w:t>Population Comparison: Water Plans and 2036 Population Projection</w:t>
      </w:r>
      <w:bookmarkEnd w:id="29"/>
    </w:p>
    <w:tbl>
      <w:tblPr>
        <w:tblW w:w="8010" w:type="dxa"/>
        <w:tblInd w:w="115" w:type="dxa"/>
        <w:tblBorders>
          <w:top w:val="single" w:sz="4" w:space="0" w:color="003366"/>
          <w:bottom w:val="single" w:sz="4" w:space="0" w:color="003366"/>
        </w:tblBorders>
        <w:tblLayout w:type="fixed"/>
        <w:tblCellMar>
          <w:left w:w="115" w:type="dxa"/>
          <w:right w:w="115" w:type="dxa"/>
        </w:tblCellMar>
        <w:tblLook w:val="01E0" w:firstRow="1" w:lastRow="1" w:firstColumn="1" w:lastColumn="1" w:noHBand="0" w:noVBand="0"/>
      </w:tblPr>
      <w:tblGrid>
        <w:gridCol w:w="2340"/>
        <w:gridCol w:w="1800"/>
        <w:gridCol w:w="2070"/>
        <w:gridCol w:w="1800"/>
      </w:tblGrid>
      <w:tr w:rsidR="00B93EED" w:rsidTr="00C006E9">
        <w:trPr>
          <w:tblHeader/>
        </w:trPr>
        <w:tc>
          <w:tcPr>
            <w:tcW w:w="2340" w:type="dxa"/>
            <w:tcBorders>
              <w:top w:val="single" w:sz="4" w:space="0" w:color="003366"/>
              <w:bottom w:val="single" w:sz="4" w:space="0" w:color="003366"/>
            </w:tcBorders>
            <w:vAlign w:val="center"/>
          </w:tcPr>
          <w:p w:rsidR="00B93EED" w:rsidRDefault="00B93EED" w:rsidP="00E62109">
            <w:pPr>
              <w:pStyle w:val="TableHeader"/>
              <w:rPr>
                <w:sz w:val="18"/>
                <w:szCs w:val="18"/>
              </w:rPr>
            </w:pPr>
            <w:r>
              <w:rPr>
                <w:sz w:val="18"/>
                <w:szCs w:val="18"/>
              </w:rPr>
              <w:t>Service Provider</w:t>
            </w:r>
          </w:p>
        </w:tc>
        <w:tc>
          <w:tcPr>
            <w:tcW w:w="1800" w:type="dxa"/>
            <w:tcBorders>
              <w:top w:val="single" w:sz="4" w:space="0" w:color="003366"/>
              <w:bottom w:val="single" w:sz="4" w:space="0" w:color="003366"/>
            </w:tcBorders>
            <w:vAlign w:val="center"/>
          </w:tcPr>
          <w:p w:rsidR="00B93EED" w:rsidRDefault="00B93EED" w:rsidP="00B93EED">
            <w:pPr>
              <w:pStyle w:val="TableHeader"/>
              <w:rPr>
                <w:sz w:val="18"/>
                <w:szCs w:val="18"/>
              </w:rPr>
            </w:pPr>
            <w:r>
              <w:rPr>
                <w:sz w:val="18"/>
                <w:szCs w:val="18"/>
              </w:rPr>
              <w:t>Horizon year of Capital Plan</w:t>
            </w:r>
          </w:p>
        </w:tc>
        <w:tc>
          <w:tcPr>
            <w:tcW w:w="2070" w:type="dxa"/>
            <w:tcBorders>
              <w:top w:val="single" w:sz="4" w:space="0" w:color="003366"/>
              <w:bottom w:val="single" w:sz="4" w:space="0" w:color="003366"/>
            </w:tcBorders>
            <w:vAlign w:val="center"/>
          </w:tcPr>
          <w:p w:rsidR="00B93EED" w:rsidRDefault="00B93EED" w:rsidP="00B93EED">
            <w:pPr>
              <w:pStyle w:val="TableHeader"/>
              <w:rPr>
                <w:sz w:val="18"/>
                <w:szCs w:val="18"/>
              </w:rPr>
            </w:pPr>
            <w:r>
              <w:rPr>
                <w:sz w:val="18"/>
                <w:szCs w:val="18"/>
              </w:rPr>
              <w:t>Capital Plan Population</w:t>
            </w:r>
          </w:p>
        </w:tc>
        <w:tc>
          <w:tcPr>
            <w:tcW w:w="1800" w:type="dxa"/>
            <w:tcBorders>
              <w:top w:val="single" w:sz="4" w:space="0" w:color="003366"/>
              <w:bottom w:val="single" w:sz="4" w:space="0" w:color="003366"/>
            </w:tcBorders>
          </w:tcPr>
          <w:p w:rsidR="00B93EED" w:rsidRDefault="00C006E9" w:rsidP="00C006E9">
            <w:pPr>
              <w:pStyle w:val="TableHeader"/>
              <w:rPr>
                <w:sz w:val="18"/>
                <w:szCs w:val="18"/>
              </w:rPr>
            </w:pPr>
            <w:r>
              <w:rPr>
                <w:sz w:val="18"/>
                <w:szCs w:val="18"/>
              </w:rPr>
              <w:t xml:space="preserve">County’s </w:t>
            </w:r>
            <w:r w:rsidR="00B93EED">
              <w:rPr>
                <w:sz w:val="18"/>
                <w:szCs w:val="18"/>
              </w:rPr>
              <w:t>2036 Population Projection</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Birch Bay Water/ Sewer</w:t>
            </w:r>
          </w:p>
        </w:tc>
        <w:tc>
          <w:tcPr>
            <w:tcW w:w="1800" w:type="dxa"/>
            <w:tcBorders>
              <w:top w:val="single" w:sz="4" w:space="0" w:color="003366"/>
              <w:bottom w:val="single" w:sz="4" w:space="0" w:color="003366"/>
            </w:tcBorders>
          </w:tcPr>
          <w:p w:rsidR="00B93EED" w:rsidRDefault="000E731C" w:rsidP="00B93EED">
            <w:pPr>
              <w:pStyle w:val="TableText"/>
              <w:jc w:val="center"/>
            </w:pPr>
            <w:r>
              <w:t>2036</w:t>
            </w:r>
          </w:p>
        </w:tc>
        <w:tc>
          <w:tcPr>
            <w:tcW w:w="2070" w:type="dxa"/>
            <w:tcBorders>
              <w:top w:val="single" w:sz="4" w:space="0" w:color="003366"/>
              <w:bottom w:val="single" w:sz="4" w:space="0" w:color="003366"/>
            </w:tcBorders>
          </w:tcPr>
          <w:p w:rsidR="00B93EED" w:rsidRDefault="00F91ECC" w:rsidP="00B93EED">
            <w:pPr>
              <w:pStyle w:val="TableText"/>
              <w:jc w:val="center"/>
            </w:pPr>
            <w:r>
              <w:t>14,565</w:t>
            </w:r>
          </w:p>
        </w:tc>
        <w:tc>
          <w:tcPr>
            <w:tcW w:w="1800" w:type="dxa"/>
            <w:tcBorders>
              <w:top w:val="single" w:sz="4" w:space="0" w:color="003366"/>
              <w:bottom w:val="single" w:sz="4" w:space="0" w:color="003366"/>
            </w:tcBorders>
          </w:tcPr>
          <w:p w:rsidR="00B93EED" w:rsidRDefault="006A5327" w:rsidP="00B93EED">
            <w:pPr>
              <w:pStyle w:val="TableText"/>
              <w:jc w:val="center"/>
            </w:pPr>
            <w:r>
              <w:t>14,414</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Bellingham</w:t>
            </w:r>
          </w:p>
        </w:tc>
        <w:tc>
          <w:tcPr>
            <w:tcW w:w="1800" w:type="dxa"/>
            <w:tcBorders>
              <w:top w:val="single" w:sz="4" w:space="0" w:color="003366"/>
              <w:bottom w:val="single" w:sz="4" w:space="0" w:color="003366"/>
            </w:tcBorders>
          </w:tcPr>
          <w:p w:rsidR="00B93EED" w:rsidRDefault="00EF009A" w:rsidP="00B93EED">
            <w:pPr>
              <w:pStyle w:val="TableText"/>
              <w:jc w:val="center"/>
            </w:pPr>
            <w:r>
              <w:t>2032</w:t>
            </w:r>
          </w:p>
        </w:tc>
        <w:tc>
          <w:tcPr>
            <w:tcW w:w="2070" w:type="dxa"/>
            <w:tcBorders>
              <w:top w:val="single" w:sz="4" w:space="0" w:color="003366"/>
              <w:bottom w:val="single" w:sz="4" w:space="0" w:color="003366"/>
            </w:tcBorders>
          </w:tcPr>
          <w:p w:rsidR="00B93EED" w:rsidRDefault="00B93EED" w:rsidP="00B93EED">
            <w:pPr>
              <w:pStyle w:val="TableText"/>
              <w:jc w:val="center"/>
            </w:pPr>
            <w:r>
              <w:t>122,672</w:t>
            </w:r>
            <w:r w:rsidR="00EF009A">
              <w:rPr>
                <w:vertAlign w:val="superscript"/>
              </w:rPr>
              <w:t>1</w:t>
            </w:r>
          </w:p>
        </w:tc>
        <w:tc>
          <w:tcPr>
            <w:tcW w:w="1800" w:type="dxa"/>
            <w:tcBorders>
              <w:top w:val="single" w:sz="4" w:space="0" w:color="003366"/>
              <w:bottom w:val="single" w:sz="4" w:space="0" w:color="003366"/>
            </w:tcBorders>
          </w:tcPr>
          <w:p w:rsidR="00B93EED" w:rsidRDefault="005A7E59" w:rsidP="00B93EED">
            <w:pPr>
              <w:pStyle w:val="TableText"/>
              <w:jc w:val="center"/>
            </w:pPr>
            <w:r>
              <w:t>123,710</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Blaine</w:t>
            </w:r>
          </w:p>
        </w:tc>
        <w:tc>
          <w:tcPr>
            <w:tcW w:w="1800" w:type="dxa"/>
            <w:tcBorders>
              <w:top w:val="single" w:sz="4" w:space="0" w:color="003366"/>
              <w:bottom w:val="single" w:sz="4" w:space="0" w:color="003366"/>
            </w:tcBorders>
          </w:tcPr>
          <w:p w:rsidR="00B93EED" w:rsidRDefault="0049539B" w:rsidP="00B93EED">
            <w:pPr>
              <w:jc w:val="center"/>
              <w:rPr>
                <w:rFonts w:ascii="Arial" w:hAnsi="Arial" w:cs="Arial"/>
                <w:sz w:val="17"/>
                <w:szCs w:val="17"/>
              </w:rPr>
            </w:pPr>
            <w:r>
              <w:rPr>
                <w:rFonts w:ascii="Arial" w:hAnsi="Arial" w:cs="Arial"/>
                <w:color w:val="000000"/>
                <w:sz w:val="17"/>
                <w:szCs w:val="17"/>
              </w:rPr>
              <w:t>2036</w:t>
            </w:r>
          </w:p>
        </w:tc>
        <w:tc>
          <w:tcPr>
            <w:tcW w:w="2070" w:type="dxa"/>
            <w:tcBorders>
              <w:top w:val="single" w:sz="4" w:space="0" w:color="003366"/>
              <w:bottom w:val="single" w:sz="4" w:space="0" w:color="003366"/>
            </w:tcBorders>
          </w:tcPr>
          <w:p w:rsidR="00B93EED" w:rsidRDefault="0049539B" w:rsidP="00B93EED">
            <w:pPr>
              <w:pStyle w:val="TableText"/>
              <w:jc w:val="center"/>
            </w:pPr>
            <w:r>
              <w:t>10,500</w:t>
            </w:r>
            <w:r>
              <w:rPr>
                <w:vertAlign w:val="superscript"/>
              </w:rPr>
              <w:t>2</w:t>
            </w:r>
          </w:p>
        </w:tc>
        <w:tc>
          <w:tcPr>
            <w:tcW w:w="1800" w:type="dxa"/>
            <w:tcBorders>
              <w:top w:val="single" w:sz="4" w:space="0" w:color="003366"/>
              <w:bottom w:val="single" w:sz="4" w:space="0" w:color="003366"/>
            </w:tcBorders>
          </w:tcPr>
          <w:p w:rsidR="00B93EED" w:rsidRDefault="006A5327" w:rsidP="00B93EED">
            <w:pPr>
              <w:pStyle w:val="TableText"/>
              <w:jc w:val="center"/>
            </w:pPr>
            <w:r>
              <w:t>9,585</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Everson</w:t>
            </w:r>
          </w:p>
        </w:tc>
        <w:tc>
          <w:tcPr>
            <w:tcW w:w="1800" w:type="dxa"/>
            <w:tcBorders>
              <w:top w:val="single" w:sz="4" w:space="0" w:color="003366"/>
              <w:bottom w:val="single" w:sz="4" w:space="0" w:color="003366"/>
            </w:tcBorders>
          </w:tcPr>
          <w:p w:rsidR="00B93EED" w:rsidRDefault="00B93EED" w:rsidP="00B93EED">
            <w:pPr>
              <w:pStyle w:val="TableText"/>
              <w:jc w:val="center"/>
            </w:pPr>
            <w:r>
              <w:t>2036</w:t>
            </w:r>
          </w:p>
        </w:tc>
        <w:tc>
          <w:tcPr>
            <w:tcW w:w="2070" w:type="dxa"/>
            <w:tcBorders>
              <w:top w:val="single" w:sz="4" w:space="0" w:color="003366"/>
              <w:bottom w:val="single" w:sz="4" w:space="0" w:color="003366"/>
            </w:tcBorders>
          </w:tcPr>
          <w:p w:rsidR="00B93EED" w:rsidRDefault="00B93EED" w:rsidP="00B93EED">
            <w:pPr>
              <w:pStyle w:val="TableText"/>
              <w:jc w:val="center"/>
            </w:pPr>
            <w:r>
              <w:t>4,046</w:t>
            </w:r>
          </w:p>
        </w:tc>
        <w:tc>
          <w:tcPr>
            <w:tcW w:w="1800" w:type="dxa"/>
            <w:tcBorders>
              <w:top w:val="single" w:sz="4" w:space="0" w:color="003366"/>
              <w:bottom w:val="single" w:sz="4" w:space="0" w:color="003366"/>
            </w:tcBorders>
          </w:tcPr>
          <w:p w:rsidR="00B93EED" w:rsidRDefault="00B93EED" w:rsidP="00B93EED">
            <w:pPr>
              <w:pStyle w:val="TableText"/>
              <w:jc w:val="center"/>
            </w:pPr>
            <w:r>
              <w:t>3,907</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Ferndale</w:t>
            </w:r>
          </w:p>
        </w:tc>
        <w:tc>
          <w:tcPr>
            <w:tcW w:w="1800" w:type="dxa"/>
            <w:tcBorders>
              <w:top w:val="single" w:sz="4" w:space="0" w:color="003366"/>
              <w:bottom w:val="single" w:sz="4" w:space="0" w:color="003366"/>
            </w:tcBorders>
          </w:tcPr>
          <w:p w:rsidR="00B93EED" w:rsidRDefault="00AA2720" w:rsidP="00B93EED">
            <w:pPr>
              <w:pStyle w:val="TableText"/>
              <w:jc w:val="center"/>
            </w:pPr>
            <w:r>
              <w:t>203</w:t>
            </w:r>
            <w:r w:rsidR="00B93EED">
              <w:t>6</w:t>
            </w:r>
          </w:p>
        </w:tc>
        <w:tc>
          <w:tcPr>
            <w:tcW w:w="2070" w:type="dxa"/>
            <w:tcBorders>
              <w:top w:val="single" w:sz="4" w:space="0" w:color="003366"/>
              <w:bottom w:val="single" w:sz="4" w:space="0" w:color="003366"/>
            </w:tcBorders>
          </w:tcPr>
          <w:p w:rsidR="00B93EED" w:rsidRDefault="00AA2720" w:rsidP="00B93EED">
            <w:pPr>
              <w:pStyle w:val="TableText"/>
              <w:jc w:val="center"/>
            </w:pPr>
            <w:r>
              <w:t>20,072</w:t>
            </w:r>
          </w:p>
        </w:tc>
        <w:tc>
          <w:tcPr>
            <w:tcW w:w="1800" w:type="dxa"/>
            <w:tcBorders>
              <w:top w:val="single" w:sz="4" w:space="0" w:color="003366"/>
              <w:bottom w:val="single" w:sz="4" w:space="0" w:color="003366"/>
            </w:tcBorders>
          </w:tcPr>
          <w:p w:rsidR="00B93EED" w:rsidRDefault="006A5327" w:rsidP="00B93EED">
            <w:pPr>
              <w:pStyle w:val="TableText"/>
              <w:jc w:val="center"/>
            </w:pPr>
            <w:r>
              <w:t>19,591</w:t>
            </w:r>
          </w:p>
        </w:tc>
      </w:tr>
      <w:tr w:rsidR="00B93EED" w:rsidTr="00C006E9">
        <w:tc>
          <w:tcPr>
            <w:tcW w:w="2340" w:type="dxa"/>
            <w:tcBorders>
              <w:top w:val="single" w:sz="4" w:space="0" w:color="003366"/>
              <w:bottom w:val="single" w:sz="4" w:space="0" w:color="003366"/>
            </w:tcBorders>
            <w:vAlign w:val="bottom"/>
          </w:tcPr>
          <w:p w:rsidR="00B93EED" w:rsidRPr="00270453" w:rsidRDefault="00B93EED" w:rsidP="00E62109">
            <w:pPr>
              <w:pStyle w:val="TableText"/>
            </w:pPr>
            <w:r w:rsidRPr="00270453">
              <w:t>City of Lynden</w:t>
            </w:r>
          </w:p>
        </w:tc>
        <w:tc>
          <w:tcPr>
            <w:tcW w:w="1800" w:type="dxa"/>
            <w:tcBorders>
              <w:top w:val="single" w:sz="4" w:space="0" w:color="003366"/>
              <w:bottom w:val="single" w:sz="4" w:space="0" w:color="003366"/>
            </w:tcBorders>
          </w:tcPr>
          <w:p w:rsidR="00B93EED" w:rsidRPr="00270453" w:rsidRDefault="00131DBB" w:rsidP="00B93EED">
            <w:pPr>
              <w:pStyle w:val="TableText"/>
              <w:jc w:val="center"/>
            </w:pPr>
            <w:r>
              <w:t>2036</w:t>
            </w:r>
          </w:p>
        </w:tc>
        <w:tc>
          <w:tcPr>
            <w:tcW w:w="2070" w:type="dxa"/>
            <w:tcBorders>
              <w:top w:val="single" w:sz="4" w:space="0" w:color="003366"/>
              <w:bottom w:val="single" w:sz="4" w:space="0" w:color="003366"/>
            </w:tcBorders>
          </w:tcPr>
          <w:p w:rsidR="00B93EED" w:rsidRPr="00270453" w:rsidRDefault="00131DBB" w:rsidP="00B93EED">
            <w:pPr>
              <w:pStyle w:val="TableText"/>
              <w:jc w:val="center"/>
            </w:pPr>
            <w:r>
              <w:t>19,575</w:t>
            </w:r>
          </w:p>
        </w:tc>
        <w:tc>
          <w:tcPr>
            <w:tcW w:w="1800" w:type="dxa"/>
            <w:tcBorders>
              <w:top w:val="single" w:sz="4" w:space="0" w:color="003366"/>
              <w:bottom w:val="single" w:sz="4" w:space="0" w:color="003366"/>
            </w:tcBorders>
          </w:tcPr>
          <w:p w:rsidR="00B93EED" w:rsidRPr="00270453" w:rsidRDefault="006A5327" w:rsidP="00B93EED">
            <w:pPr>
              <w:pStyle w:val="TableText"/>
              <w:jc w:val="center"/>
            </w:pPr>
            <w:r>
              <w:t>19,275</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Nooksack</w:t>
            </w:r>
          </w:p>
        </w:tc>
        <w:tc>
          <w:tcPr>
            <w:tcW w:w="1800" w:type="dxa"/>
            <w:tcBorders>
              <w:top w:val="single" w:sz="4" w:space="0" w:color="003366"/>
              <w:bottom w:val="single" w:sz="4" w:space="0" w:color="003366"/>
            </w:tcBorders>
          </w:tcPr>
          <w:p w:rsidR="00B93EED" w:rsidRDefault="002D1334" w:rsidP="00B93EED">
            <w:pPr>
              <w:pStyle w:val="TableText"/>
              <w:jc w:val="center"/>
            </w:pPr>
            <w:r>
              <w:t>2036</w:t>
            </w:r>
          </w:p>
        </w:tc>
        <w:tc>
          <w:tcPr>
            <w:tcW w:w="2070" w:type="dxa"/>
            <w:tcBorders>
              <w:top w:val="single" w:sz="4" w:space="0" w:color="003366"/>
              <w:bottom w:val="single" w:sz="4" w:space="0" w:color="003366"/>
            </w:tcBorders>
          </w:tcPr>
          <w:p w:rsidR="00B93EED" w:rsidRDefault="002D1334" w:rsidP="00B93EED">
            <w:pPr>
              <w:pStyle w:val="TableText"/>
              <w:jc w:val="center"/>
            </w:pPr>
            <w:r>
              <w:t>2,425</w:t>
            </w:r>
          </w:p>
        </w:tc>
        <w:tc>
          <w:tcPr>
            <w:tcW w:w="1800" w:type="dxa"/>
            <w:tcBorders>
              <w:top w:val="single" w:sz="4" w:space="0" w:color="003366"/>
              <w:bottom w:val="single" w:sz="4" w:space="0" w:color="003366"/>
            </w:tcBorders>
          </w:tcPr>
          <w:p w:rsidR="00B93EED" w:rsidRDefault="002D1334" w:rsidP="00B93EED">
            <w:pPr>
              <w:pStyle w:val="TableText"/>
              <w:jc w:val="center"/>
            </w:pPr>
            <w:r>
              <w:t>2,425</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City of Sumas</w:t>
            </w:r>
            <w:r w:rsidR="002D69E9">
              <w:rPr>
                <w:vertAlign w:val="superscript"/>
              </w:rPr>
              <w:t>3</w:t>
            </w:r>
          </w:p>
        </w:tc>
        <w:tc>
          <w:tcPr>
            <w:tcW w:w="1800" w:type="dxa"/>
            <w:tcBorders>
              <w:top w:val="single" w:sz="4" w:space="0" w:color="003366"/>
              <w:bottom w:val="single" w:sz="4" w:space="0" w:color="003366"/>
            </w:tcBorders>
          </w:tcPr>
          <w:p w:rsidR="00B93EED" w:rsidRDefault="00CC5464" w:rsidP="00A263F3">
            <w:pPr>
              <w:pStyle w:val="TableText"/>
              <w:jc w:val="center"/>
            </w:pPr>
            <w:r>
              <w:t>2036</w:t>
            </w:r>
          </w:p>
        </w:tc>
        <w:tc>
          <w:tcPr>
            <w:tcW w:w="2070" w:type="dxa"/>
            <w:tcBorders>
              <w:top w:val="single" w:sz="4" w:space="0" w:color="003366"/>
              <w:bottom w:val="single" w:sz="4" w:space="0" w:color="003366"/>
            </w:tcBorders>
          </w:tcPr>
          <w:p w:rsidR="00B93EED" w:rsidRDefault="00CC5464" w:rsidP="00B93EED">
            <w:pPr>
              <w:pStyle w:val="TableText"/>
              <w:jc w:val="center"/>
            </w:pPr>
            <w:r>
              <w:t>2,323</w:t>
            </w:r>
          </w:p>
        </w:tc>
        <w:tc>
          <w:tcPr>
            <w:tcW w:w="1800" w:type="dxa"/>
            <w:tcBorders>
              <w:top w:val="single" w:sz="4" w:space="0" w:color="003366"/>
              <w:bottom w:val="single" w:sz="4" w:space="0" w:color="003366"/>
            </w:tcBorders>
          </w:tcPr>
          <w:p w:rsidR="00B93EED" w:rsidRDefault="00B93EED" w:rsidP="00B93EED">
            <w:pPr>
              <w:pStyle w:val="TableText"/>
              <w:jc w:val="center"/>
            </w:pPr>
            <w:r>
              <w:t>2,323</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Columbia Valley Water District</w:t>
            </w:r>
          </w:p>
        </w:tc>
        <w:tc>
          <w:tcPr>
            <w:tcW w:w="1800" w:type="dxa"/>
            <w:tcBorders>
              <w:top w:val="single" w:sz="4" w:space="0" w:color="003366"/>
              <w:bottom w:val="single" w:sz="4" w:space="0" w:color="003366"/>
            </w:tcBorders>
          </w:tcPr>
          <w:p w:rsidR="00B93EED" w:rsidRDefault="00B93EED" w:rsidP="00B93EED">
            <w:pPr>
              <w:pStyle w:val="TableText"/>
              <w:jc w:val="center"/>
            </w:pPr>
            <w:r>
              <w:t>2030</w:t>
            </w:r>
          </w:p>
        </w:tc>
        <w:tc>
          <w:tcPr>
            <w:tcW w:w="2070" w:type="dxa"/>
            <w:tcBorders>
              <w:top w:val="single" w:sz="4" w:space="0" w:color="003366"/>
              <w:bottom w:val="single" w:sz="4" w:space="0" w:color="003366"/>
            </w:tcBorders>
          </w:tcPr>
          <w:p w:rsidR="00B93EED" w:rsidRDefault="00B93EED" w:rsidP="00B93EED">
            <w:pPr>
              <w:pStyle w:val="TableText"/>
              <w:jc w:val="center"/>
            </w:pPr>
            <w:r>
              <w:t xml:space="preserve">N/A </w:t>
            </w:r>
            <w:r w:rsidR="002D69E9">
              <w:rPr>
                <w:vertAlign w:val="superscript"/>
              </w:rPr>
              <w:t>4</w:t>
            </w:r>
          </w:p>
        </w:tc>
        <w:tc>
          <w:tcPr>
            <w:tcW w:w="1800" w:type="dxa"/>
            <w:tcBorders>
              <w:top w:val="single" w:sz="4" w:space="0" w:color="003366"/>
              <w:bottom w:val="single" w:sz="4" w:space="0" w:color="003366"/>
            </w:tcBorders>
          </w:tcPr>
          <w:p w:rsidR="00B93EED" w:rsidRDefault="00944371" w:rsidP="00B93EED">
            <w:pPr>
              <w:pStyle w:val="TableText"/>
              <w:jc w:val="center"/>
            </w:pPr>
            <w:r>
              <w:t>2,886</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PUD 1</w:t>
            </w:r>
          </w:p>
        </w:tc>
        <w:tc>
          <w:tcPr>
            <w:tcW w:w="1800" w:type="dxa"/>
            <w:tcBorders>
              <w:top w:val="single" w:sz="4" w:space="0" w:color="003366"/>
              <w:bottom w:val="single" w:sz="4" w:space="0" w:color="003366"/>
            </w:tcBorders>
          </w:tcPr>
          <w:p w:rsidR="00B93EED" w:rsidRDefault="00B93EED" w:rsidP="00B93EED">
            <w:pPr>
              <w:pStyle w:val="TableText"/>
              <w:jc w:val="center"/>
            </w:pPr>
            <w:r>
              <w:t xml:space="preserve">N/A </w:t>
            </w:r>
            <w:r w:rsidR="002D69E9">
              <w:rPr>
                <w:vertAlign w:val="superscript"/>
              </w:rPr>
              <w:t>5</w:t>
            </w:r>
          </w:p>
        </w:tc>
        <w:tc>
          <w:tcPr>
            <w:tcW w:w="2070" w:type="dxa"/>
            <w:tcBorders>
              <w:top w:val="single" w:sz="4" w:space="0" w:color="003366"/>
              <w:bottom w:val="single" w:sz="4" w:space="0" w:color="003366"/>
            </w:tcBorders>
          </w:tcPr>
          <w:p w:rsidR="00B93EED" w:rsidRDefault="00E52305" w:rsidP="00B93EED">
            <w:pPr>
              <w:pStyle w:val="TableText"/>
              <w:jc w:val="center"/>
            </w:pPr>
            <w:r>
              <w:t>N/A</w:t>
            </w:r>
            <w:r w:rsidR="002D69E9">
              <w:rPr>
                <w:vertAlign w:val="superscript"/>
              </w:rPr>
              <w:t>5</w:t>
            </w:r>
          </w:p>
        </w:tc>
        <w:tc>
          <w:tcPr>
            <w:tcW w:w="1800" w:type="dxa"/>
            <w:tcBorders>
              <w:top w:val="single" w:sz="4" w:space="0" w:color="003366"/>
              <w:bottom w:val="single" w:sz="4" w:space="0" w:color="003366"/>
            </w:tcBorders>
          </w:tcPr>
          <w:p w:rsidR="00B93EED" w:rsidRDefault="00E52305" w:rsidP="00B93EED">
            <w:pPr>
              <w:pStyle w:val="TableText"/>
              <w:jc w:val="center"/>
            </w:pPr>
            <w:r>
              <w:t>N/A</w:t>
            </w:r>
            <w:r w:rsidR="002D69E9">
              <w:rPr>
                <w:vertAlign w:val="superscript"/>
              </w:rPr>
              <w:t>5</w:t>
            </w:r>
          </w:p>
        </w:tc>
      </w:tr>
      <w:tr w:rsidR="00B93EED" w:rsidTr="00C006E9">
        <w:tc>
          <w:tcPr>
            <w:tcW w:w="2340" w:type="dxa"/>
            <w:tcBorders>
              <w:top w:val="single" w:sz="4" w:space="0" w:color="003366"/>
              <w:bottom w:val="single" w:sz="4" w:space="0" w:color="003366"/>
            </w:tcBorders>
            <w:vAlign w:val="bottom"/>
          </w:tcPr>
          <w:p w:rsidR="00B93EED" w:rsidRDefault="00B93EED" w:rsidP="00E62109">
            <w:pPr>
              <w:pStyle w:val="TableText"/>
            </w:pPr>
            <w:r>
              <w:t>Lake Whatcom Water</w:t>
            </w:r>
            <w:r w:rsidR="006701FA">
              <w:t xml:space="preserve"> and Sewer District</w:t>
            </w:r>
          </w:p>
        </w:tc>
        <w:tc>
          <w:tcPr>
            <w:tcW w:w="1800" w:type="dxa"/>
            <w:tcBorders>
              <w:top w:val="single" w:sz="4" w:space="0" w:color="003366"/>
              <w:bottom w:val="single" w:sz="4" w:space="0" w:color="003366"/>
            </w:tcBorders>
          </w:tcPr>
          <w:p w:rsidR="00B93EED" w:rsidRDefault="00B93EED" w:rsidP="00B93EED">
            <w:pPr>
              <w:pStyle w:val="TableText"/>
              <w:jc w:val="center"/>
            </w:pPr>
            <w:r>
              <w:t>2027</w:t>
            </w:r>
          </w:p>
        </w:tc>
        <w:tc>
          <w:tcPr>
            <w:tcW w:w="2070" w:type="dxa"/>
            <w:tcBorders>
              <w:top w:val="single" w:sz="4" w:space="0" w:color="003366"/>
              <w:bottom w:val="single" w:sz="4" w:space="0" w:color="003366"/>
            </w:tcBorders>
          </w:tcPr>
          <w:p w:rsidR="00B93EED" w:rsidRDefault="00372641" w:rsidP="00B93EED">
            <w:pPr>
              <w:pStyle w:val="TableText"/>
              <w:jc w:val="center"/>
            </w:pPr>
            <w:r>
              <w:t>10,855</w:t>
            </w:r>
            <w:r w:rsidR="002D69E9">
              <w:rPr>
                <w:sz w:val="15"/>
                <w:szCs w:val="15"/>
                <w:vertAlign w:val="superscript"/>
              </w:rPr>
              <w:t>6</w:t>
            </w:r>
          </w:p>
        </w:tc>
        <w:tc>
          <w:tcPr>
            <w:tcW w:w="1800" w:type="dxa"/>
            <w:tcBorders>
              <w:top w:val="single" w:sz="4" w:space="0" w:color="003366"/>
              <w:bottom w:val="single" w:sz="4" w:space="0" w:color="003366"/>
            </w:tcBorders>
          </w:tcPr>
          <w:p w:rsidR="00B93EED" w:rsidRDefault="00621D0D" w:rsidP="00B93EED">
            <w:pPr>
              <w:pStyle w:val="TableText"/>
              <w:jc w:val="center"/>
            </w:pPr>
            <w:r>
              <w:t>12,204</w:t>
            </w:r>
          </w:p>
        </w:tc>
      </w:tr>
      <w:tr w:rsidR="00B93EED" w:rsidTr="00C006E9">
        <w:tc>
          <w:tcPr>
            <w:tcW w:w="2340" w:type="dxa"/>
            <w:tcBorders>
              <w:top w:val="single" w:sz="4" w:space="0" w:color="003366"/>
              <w:bottom w:val="single" w:sz="4" w:space="0" w:color="003366"/>
            </w:tcBorders>
            <w:vAlign w:val="bottom"/>
          </w:tcPr>
          <w:p w:rsidR="00B93EED" w:rsidRDefault="001F33D6" w:rsidP="00E62109">
            <w:pPr>
              <w:pStyle w:val="TableText"/>
            </w:pPr>
            <w:r>
              <w:t>W.C. Water District</w:t>
            </w:r>
            <w:r w:rsidR="00B93EED">
              <w:t xml:space="preserve"> 2</w:t>
            </w:r>
          </w:p>
        </w:tc>
        <w:tc>
          <w:tcPr>
            <w:tcW w:w="1800" w:type="dxa"/>
            <w:tcBorders>
              <w:top w:val="single" w:sz="4" w:space="0" w:color="003366"/>
              <w:bottom w:val="single" w:sz="4" w:space="0" w:color="003366"/>
            </w:tcBorders>
          </w:tcPr>
          <w:p w:rsidR="00B93EED" w:rsidRDefault="00B93EED" w:rsidP="00B93EED">
            <w:pPr>
              <w:pStyle w:val="TableText"/>
              <w:jc w:val="center"/>
            </w:pPr>
            <w:r>
              <w:t>2029</w:t>
            </w:r>
          </w:p>
        </w:tc>
        <w:tc>
          <w:tcPr>
            <w:tcW w:w="2070" w:type="dxa"/>
            <w:tcBorders>
              <w:top w:val="single" w:sz="4" w:space="0" w:color="003366"/>
              <w:bottom w:val="single" w:sz="4" w:space="0" w:color="003366"/>
            </w:tcBorders>
          </w:tcPr>
          <w:p w:rsidR="00B93EED" w:rsidRDefault="004E11F2" w:rsidP="00B93EED">
            <w:pPr>
              <w:pStyle w:val="TableText"/>
              <w:jc w:val="center"/>
            </w:pPr>
            <w:r>
              <w:t>1,905</w:t>
            </w:r>
            <w:r w:rsidR="002D69E9">
              <w:rPr>
                <w:vertAlign w:val="superscript"/>
              </w:rPr>
              <w:t>7</w:t>
            </w:r>
          </w:p>
        </w:tc>
        <w:tc>
          <w:tcPr>
            <w:tcW w:w="1800" w:type="dxa"/>
            <w:tcBorders>
              <w:top w:val="single" w:sz="4" w:space="0" w:color="003366"/>
              <w:bottom w:val="single" w:sz="4" w:space="0" w:color="003366"/>
            </w:tcBorders>
          </w:tcPr>
          <w:p w:rsidR="00B93EED" w:rsidRDefault="006A5327" w:rsidP="00B93EED">
            <w:pPr>
              <w:pStyle w:val="TableText"/>
              <w:jc w:val="center"/>
            </w:pPr>
            <w:r>
              <w:t>1,533</w:t>
            </w:r>
          </w:p>
        </w:tc>
      </w:tr>
      <w:tr w:rsidR="00B93EED" w:rsidTr="00C006E9">
        <w:tc>
          <w:tcPr>
            <w:tcW w:w="2340" w:type="dxa"/>
            <w:tcBorders>
              <w:top w:val="single" w:sz="4" w:space="0" w:color="003366"/>
              <w:bottom w:val="single" w:sz="4" w:space="0" w:color="003366"/>
            </w:tcBorders>
            <w:vAlign w:val="bottom"/>
          </w:tcPr>
          <w:p w:rsidR="00B93EED" w:rsidRDefault="001F33D6" w:rsidP="00E62109">
            <w:pPr>
              <w:pStyle w:val="TableText"/>
            </w:pPr>
            <w:r>
              <w:t>W.C. Water District 7</w:t>
            </w:r>
          </w:p>
        </w:tc>
        <w:tc>
          <w:tcPr>
            <w:tcW w:w="1800" w:type="dxa"/>
            <w:tcBorders>
              <w:top w:val="single" w:sz="4" w:space="0" w:color="003366"/>
              <w:bottom w:val="single" w:sz="4" w:space="0" w:color="003366"/>
            </w:tcBorders>
          </w:tcPr>
          <w:p w:rsidR="00B93EED" w:rsidRDefault="001F33D6" w:rsidP="00B93EED">
            <w:pPr>
              <w:pStyle w:val="TableText"/>
              <w:jc w:val="center"/>
            </w:pPr>
            <w:r w:rsidRPr="001F33D6">
              <w:t>2027</w:t>
            </w:r>
          </w:p>
        </w:tc>
        <w:tc>
          <w:tcPr>
            <w:tcW w:w="2070" w:type="dxa"/>
            <w:tcBorders>
              <w:top w:val="single" w:sz="4" w:space="0" w:color="003366"/>
              <w:bottom w:val="single" w:sz="4" w:space="0" w:color="003366"/>
            </w:tcBorders>
          </w:tcPr>
          <w:p w:rsidR="00B93EED" w:rsidRPr="003D7F1D" w:rsidRDefault="00427286" w:rsidP="00B93EED">
            <w:pPr>
              <w:pStyle w:val="TableText"/>
              <w:jc w:val="center"/>
              <w:rPr>
                <w:vertAlign w:val="superscript"/>
              </w:rPr>
            </w:pPr>
            <w:r>
              <w:t>2,123</w:t>
            </w:r>
            <w:r w:rsidR="002D69E9">
              <w:rPr>
                <w:vertAlign w:val="superscript"/>
              </w:rPr>
              <w:t>8</w:t>
            </w:r>
          </w:p>
        </w:tc>
        <w:tc>
          <w:tcPr>
            <w:tcW w:w="1800" w:type="dxa"/>
            <w:tcBorders>
              <w:top w:val="single" w:sz="4" w:space="0" w:color="003366"/>
              <w:bottom w:val="single" w:sz="4" w:space="0" w:color="003366"/>
            </w:tcBorders>
          </w:tcPr>
          <w:p w:rsidR="00B93EED" w:rsidRDefault="00427286" w:rsidP="00B93EED">
            <w:pPr>
              <w:pStyle w:val="TableText"/>
              <w:jc w:val="center"/>
            </w:pPr>
            <w:r>
              <w:t>2,118</w:t>
            </w:r>
          </w:p>
        </w:tc>
      </w:tr>
      <w:tr w:rsidR="00B93EED" w:rsidTr="00C006E9">
        <w:tc>
          <w:tcPr>
            <w:tcW w:w="2340" w:type="dxa"/>
            <w:tcBorders>
              <w:top w:val="single" w:sz="4" w:space="0" w:color="003366"/>
              <w:bottom w:val="single" w:sz="4" w:space="0" w:color="003366"/>
            </w:tcBorders>
            <w:vAlign w:val="bottom"/>
          </w:tcPr>
          <w:p w:rsidR="00B93EED" w:rsidRDefault="001F33D6" w:rsidP="00E62109">
            <w:pPr>
              <w:pStyle w:val="TableText"/>
            </w:pPr>
            <w:r>
              <w:t>W.C. Water District 13</w:t>
            </w:r>
          </w:p>
        </w:tc>
        <w:tc>
          <w:tcPr>
            <w:tcW w:w="1800" w:type="dxa"/>
            <w:tcBorders>
              <w:top w:val="single" w:sz="4" w:space="0" w:color="003366"/>
              <w:bottom w:val="single" w:sz="4" w:space="0" w:color="003366"/>
            </w:tcBorders>
          </w:tcPr>
          <w:p w:rsidR="00B93EED" w:rsidRDefault="001F33D6" w:rsidP="001F33D6">
            <w:pPr>
              <w:pStyle w:val="TableText"/>
              <w:jc w:val="center"/>
            </w:pPr>
            <w:r w:rsidRPr="001F33D6">
              <w:t>2031</w:t>
            </w:r>
          </w:p>
        </w:tc>
        <w:tc>
          <w:tcPr>
            <w:tcW w:w="2070" w:type="dxa"/>
            <w:tcBorders>
              <w:top w:val="single" w:sz="4" w:space="0" w:color="003366"/>
              <w:bottom w:val="single" w:sz="4" w:space="0" w:color="003366"/>
            </w:tcBorders>
          </w:tcPr>
          <w:p w:rsidR="00B93EED" w:rsidRDefault="001F33D6" w:rsidP="001F33D6">
            <w:pPr>
              <w:pStyle w:val="TableText"/>
              <w:jc w:val="center"/>
            </w:pPr>
            <w:r>
              <w:t>1,170</w:t>
            </w:r>
            <w:r w:rsidR="002D69E9">
              <w:rPr>
                <w:vertAlign w:val="superscript"/>
              </w:rPr>
              <w:t>9</w:t>
            </w:r>
          </w:p>
        </w:tc>
        <w:tc>
          <w:tcPr>
            <w:tcW w:w="1800" w:type="dxa"/>
            <w:tcBorders>
              <w:top w:val="single" w:sz="4" w:space="0" w:color="003366"/>
              <w:bottom w:val="single" w:sz="4" w:space="0" w:color="003366"/>
            </w:tcBorders>
          </w:tcPr>
          <w:p w:rsidR="00B93EED" w:rsidRDefault="001F33D6" w:rsidP="001F33D6">
            <w:pPr>
              <w:pStyle w:val="TableText"/>
              <w:jc w:val="center"/>
            </w:pPr>
            <w:r w:rsidRPr="001F33D6">
              <w:t>1,786</w:t>
            </w:r>
          </w:p>
        </w:tc>
      </w:tr>
    </w:tbl>
    <w:p w:rsidR="00E62109" w:rsidRDefault="00E62109" w:rsidP="00E62109">
      <w:pPr>
        <w:pStyle w:val="TableNotes"/>
      </w:pPr>
      <w:r>
        <w:t>N/A = Not Available</w:t>
      </w:r>
    </w:p>
    <w:p w:rsidR="00E62109" w:rsidRDefault="00E62109" w:rsidP="00E62109">
      <w:pPr>
        <w:pStyle w:val="TableNotes"/>
      </w:pPr>
    </w:p>
    <w:p w:rsidR="00EF009A" w:rsidRDefault="00EF009A" w:rsidP="0049539B">
      <w:pPr>
        <w:pStyle w:val="TableNotes"/>
        <w:numPr>
          <w:ilvl w:val="0"/>
          <w:numId w:val="47"/>
        </w:numPr>
        <w:rPr>
          <w:rFonts w:eastAsia="Calibri"/>
          <w:sz w:val="16"/>
          <w:szCs w:val="16"/>
        </w:rPr>
      </w:pPr>
      <w:r>
        <w:t xml:space="preserve">The </w:t>
      </w:r>
      <w:r w:rsidRPr="00EF009A">
        <w:rPr>
          <w:rFonts w:eastAsia="Calibri"/>
          <w:i/>
          <w:sz w:val="16"/>
          <w:szCs w:val="16"/>
        </w:rPr>
        <w:t>City of Bellingham Water System Plan</w:t>
      </w:r>
      <w:r>
        <w:rPr>
          <w:rFonts w:eastAsia="Calibri"/>
          <w:sz w:val="16"/>
          <w:szCs w:val="16"/>
        </w:rPr>
        <w:t xml:space="preserve"> (June 2009) contains a population projection of 122,672 for the year 2028.The </w:t>
      </w:r>
      <w:r w:rsidRPr="00EF009A">
        <w:rPr>
          <w:rFonts w:eastAsia="Calibri"/>
          <w:i/>
          <w:sz w:val="16"/>
          <w:szCs w:val="16"/>
        </w:rPr>
        <w:t xml:space="preserve">City of Bellingham Water System </w:t>
      </w:r>
      <w:r w:rsidRPr="00944704">
        <w:rPr>
          <w:rFonts w:eastAsia="Calibri"/>
          <w:i/>
          <w:sz w:val="16"/>
          <w:szCs w:val="16"/>
        </w:rPr>
        <w:t>Plan Update</w:t>
      </w:r>
      <w:r>
        <w:rPr>
          <w:rFonts w:eastAsia="Calibri"/>
          <w:sz w:val="16"/>
          <w:szCs w:val="16"/>
        </w:rPr>
        <w:t xml:space="preserve"> (October 2013) extends the horizon year to 2032, but does not include an updated population projection.</w:t>
      </w:r>
    </w:p>
    <w:p w:rsidR="0049539B" w:rsidRDefault="0049539B" w:rsidP="0049539B">
      <w:pPr>
        <w:pStyle w:val="TableNotes"/>
        <w:numPr>
          <w:ilvl w:val="0"/>
          <w:numId w:val="47"/>
        </w:numPr>
      </w:pPr>
      <w:r>
        <w:t>Projected service area population per draft City 2016 Comprehensive Water System Plan.</w:t>
      </w:r>
    </w:p>
    <w:p w:rsidR="0049539B" w:rsidRDefault="00CC5464" w:rsidP="0049539B">
      <w:pPr>
        <w:pStyle w:val="TableNotes"/>
        <w:numPr>
          <w:ilvl w:val="0"/>
          <w:numId w:val="47"/>
        </w:numPr>
      </w:pPr>
      <w:r w:rsidRPr="00CC5464">
        <w:t xml:space="preserve">Information regarding </w:t>
      </w:r>
      <w:r>
        <w:t xml:space="preserve">the Sumas water system is from </w:t>
      </w:r>
      <w:r w:rsidRPr="0049539B">
        <w:rPr>
          <w:i/>
        </w:rPr>
        <w:t>the Draft Capital Facilities Element of the Sumas Comprehensive Plan</w:t>
      </w:r>
      <w:r w:rsidRPr="00CC5464">
        <w:t xml:space="preserve"> (April 2016).</w:t>
      </w:r>
    </w:p>
    <w:p w:rsidR="0049539B" w:rsidRDefault="00621D0D" w:rsidP="0049539B">
      <w:pPr>
        <w:pStyle w:val="TableNotes"/>
        <w:numPr>
          <w:ilvl w:val="0"/>
          <w:numId w:val="47"/>
        </w:numPr>
      </w:pPr>
      <w:r>
        <w:t xml:space="preserve">The </w:t>
      </w:r>
      <w:r w:rsidRPr="0049539B">
        <w:rPr>
          <w:i/>
        </w:rPr>
        <w:t>Columbia Valley W</w:t>
      </w:r>
      <w:r w:rsidR="00E62109" w:rsidRPr="0049539B">
        <w:rPr>
          <w:i/>
        </w:rPr>
        <w:t>ater District 2013 Water System Plan Update</w:t>
      </w:r>
      <w:r w:rsidR="00E62109">
        <w:t xml:space="preserve"> does not include a specific 20-year population pr</w:t>
      </w:r>
      <w:r w:rsidR="00385B12">
        <w:t xml:space="preserve">ojection. However, </w:t>
      </w:r>
      <w:r w:rsidR="00E62109">
        <w:t>the W</w:t>
      </w:r>
      <w:r w:rsidR="00944371">
        <w:t>ater System Plan</w:t>
      </w:r>
      <w:r w:rsidR="00385B12">
        <w:t xml:space="preserve"> projects that it will serve 1,242 equivalent residential units (ERUs) in 2030 (pp. 36 and 37)</w:t>
      </w:r>
      <w:r w:rsidR="00944371">
        <w:t xml:space="preserve">. </w:t>
      </w:r>
    </w:p>
    <w:p w:rsidR="0049539B" w:rsidRDefault="00E62109" w:rsidP="0049539B">
      <w:pPr>
        <w:pStyle w:val="TableNotes"/>
        <w:numPr>
          <w:ilvl w:val="0"/>
          <w:numId w:val="47"/>
        </w:numPr>
      </w:pPr>
      <w:r>
        <w:t>Since PUD1 provides retail water service only to areas characterized by and designated for industrial and commercial uses, the district’s 2004 WSP does not provide population projections or a horizon year. PUD 1 also owns and operates the Grandview potable water supply system – retail</w:t>
      </w:r>
      <w:r w:rsidR="00E52305">
        <w:t>.</w:t>
      </w:r>
    </w:p>
    <w:p w:rsidR="0049539B" w:rsidRDefault="00621D0D" w:rsidP="0049539B">
      <w:pPr>
        <w:pStyle w:val="TableNotes"/>
        <w:numPr>
          <w:ilvl w:val="0"/>
          <w:numId w:val="47"/>
        </w:numPr>
      </w:pPr>
      <w:r>
        <w:t xml:space="preserve">The </w:t>
      </w:r>
      <w:r w:rsidR="00E62109" w:rsidRPr="0049539B">
        <w:rPr>
          <w:i/>
        </w:rPr>
        <w:t>Lake Whatcom Water and Sewer District</w:t>
      </w:r>
      <w:r w:rsidRPr="0049539B">
        <w:rPr>
          <w:i/>
        </w:rPr>
        <w:t xml:space="preserve"> Water System Comprehensive Plan</w:t>
      </w:r>
      <w:r w:rsidR="00E62109">
        <w:t xml:space="preserve"> anticipates</w:t>
      </w:r>
      <w:r>
        <w:t xml:space="preserve"> 4,125 ERUs in 2027 (Appendix A, Exhibit 2), which equates to</w:t>
      </w:r>
      <w:r w:rsidR="00E62109">
        <w:t xml:space="preserve"> a population of </w:t>
      </w:r>
      <w:r w:rsidR="00372641">
        <w:t>about 10,855</w:t>
      </w:r>
      <w:r>
        <w:t xml:space="preserve"> using average household sizes described in the </w:t>
      </w:r>
      <w:r w:rsidRPr="0049539B">
        <w:rPr>
          <w:i/>
        </w:rPr>
        <w:t>Water System</w:t>
      </w:r>
      <w:r w:rsidR="00FB6708" w:rsidRPr="0049539B">
        <w:rPr>
          <w:i/>
        </w:rPr>
        <w:t xml:space="preserve"> Comprehensive</w:t>
      </w:r>
      <w:r w:rsidRPr="0049539B">
        <w:rPr>
          <w:i/>
        </w:rPr>
        <w:t xml:space="preserve"> Plan</w:t>
      </w:r>
      <w:r>
        <w:t xml:space="preserve"> (p. 17)</w:t>
      </w:r>
      <w:r w:rsidR="00E62109">
        <w:t>.</w:t>
      </w:r>
    </w:p>
    <w:p w:rsidR="0049539B" w:rsidRDefault="00305917" w:rsidP="0049539B">
      <w:pPr>
        <w:pStyle w:val="TableNotes"/>
        <w:numPr>
          <w:ilvl w:val="0"/>
          <w:numId w:val="47"/>
        </w:numPr>
      </w:pPr>
      <w:r>
        <w:t>Water District 2</w:t>
      </w:r>
      <w:r w:rsidRPr="00305917">
        <w:t xml:space="preserve"> projects future connections rather than population.</w:t>
      </w:r>
      <w:r>
        <w:t xml:space="preserve"> The district plans to serve 797 connections by 2029</w:t>
      </w:r>
      <w:r w:rsidRPr="00305917">
        <w:t>. Applying the Bellingham average household size of 2.49 and occupancy rate of 96% resu</w:t>
      </w:r>
      <w:r>
        <w:t>lts in approximately 1,905 people served by the 797 connections in 2029</w:t>
      </w:r>
      <w:r w:rsidRPr="00305917">
        <w:t>.</w:t>
      </w:r>
    </w:p>
    <w:p w:rsidR="0049539B" w:rsidRDefault="00427286" w:rsidP="0049539B">
      <w:pPr>
        <w:pStyle w:val="TableNotes"/>
        <w:numPr>
          <w:ilvl w:val="0"/>
          <w:numId w:val="47"/>
        </w:numPr>
      </w:pPr>
      <w:r>
        <w:t>Water District 7 projects future</w:t>
      </w:r>
      <w:r w:rsidR="00E62109" w:rsidRPr="00E62109">
        <w:t xml:space="preserve"> connections rather than population. The district plans to serve 888 connections by 2027. Applying the Bellingh</w:t>
      </w:r>
      <w:r>
        <w:t>am average household size of 2.49 and occupancy rate of 96</w:t>
      </w:r>
      <w:r w:rsidR="00E62109" w:rsidRPr="00E62109">
        <w:t>% resu</w:t>
      </w:r>
      <w:r>
        <w:t>lts in approximately 2,123</w:t>
      </w:r>
      <w:r w:rsidR="00E62109" w:rsidRPr="00E62109">
        <w:t xml:space="preserve"> people served by the 888 connections in 2027. However, Water District 7 is approved to serve up to 1,145 residential service connections (State Department of Health letter from Richard Rodriguez and John Thiel</w:t>
      </w:r>
      <w:r w:rsidR="00A84EFD">
        <w:t>e</w:t>
      </w:r>
      <w:r w:rsidR="00E62109" w:rsidRPr="00E62109">
        <w:t>mann to James Trowbridge dated January 5, 2009). Therefore the District could s</w:t>
      </w:r>
      <w:r>
        <w:t>erve a population of about 2,700</w:t>
      </w:r>
      <w:r w:rsidR="001F5971">
        <w:t>, which is greater than the projected population of the District in 2036</w:t>
      </w:r>
      <w:r w:rsidR="00E62109" w:rsidRPr="00E62109">
        <w:t>.</w:t>
      </w:r>
    </w:p>
    <w:p w:rsidR="001F33D6" w:rsidRDefault="001F33D6" w:rsidP="0049539B">
      <w:pPr>
        <w:pStyle w:val="TableNotes"/>
        <w:numPr>
          <w:ilvl w:val="0"/>
          <w:numId w:val="47"/>
        </w:numPr>
      </w:pPr>
      <w:r>
        <w:t>Water District 13 could potentially serve a total of 1,338 residential connections (</w:t>
      </w:r>
      <w:r w:rsidRPr="0049539B">
        <w:rPr>
          <w:i/>
        </w:rPr>
        <w:t>Whatcom County Water District # 13 Small Water System Plan</w:t>
      </w:r>
      <w:r>
        <w:t>, p. 14).</w:t>
      </w:r>
    </w:p>
    <w:p w:rsidR="00E62109" w:rsidRPr="00E62109" w:rsidRDefault="00E62109" w:rsidP="00E62109">
      <w:pPr>
        <w:pStyle w:val="BodyText"/>
        <w:spacing w:line="240" w:lineRule="auto"/>
        <w:ind w:left="360" w:hanging="360"/>
        <w:rPr>
          <w:rFonts w:ascii="Arial" w:hAnsi="Arial" w:cs="Arial"/>
          <w:sz w:val="15"/>
          <w:szCs w:val="15"/>
        </w:rPr>
      </w:pPr>
    </w:p>
    <w:p w:rsidR="00215E0F" w:rsidRDefault="00215E0F" w:rsidP="00215E0F">
      <w:pPr>
        <w:pStyle w:val="Heading5"/>
      </w:pPr>
      <w:r>
        <w:lastRenderedPageBreak/>
        <w:t>Capital Project</w:t>
      </w:r>
      <w:r w:rsidR="009C390D">
        <w:t>s and</w:t>
      </w:r>
      <w:r>
        <w:t xml:space="preserve"> Funding</w:t>
      </w:r>
    </w:p>
    <w:p w:rsidR="00215E0F" w:rsidRDefault="00215E0F" w:rsidP="00B15BC0">
      <w:pPr>
        <w:pStyle w:val="BodyText"/>
      </w:pPr>
      <w:r>
        <w:t xml:space="preserve">Water services and capital improvements are funded primarily by the users of the system through water rates and general facilities charges. Water rates can be adjusted to match the funding required for capital and operational needs. Connection fees are usually charged to developers when a development necessitates expansion of the district’s capacity. </w:t>
      </w:r>
      <w:r w:rsidR="00012E38">
        <w:t>There are also g</w:t>
      </w:r>
      <w:r w:rsidR="007D1F2C">
        <w:t xml:space="preserve">overnmental </w:t>
      </w:r>
      <w:r w:rsidR="00E01931">
        <w:t>funding programs</w:t>
      </w:r>
      <w:r w:rsidR="00B15BC0">
        <w:t>. These</w:t>
      </w:r>
      <w:r>
        <w:t xml:space="preserve"> include the Public Works Trust Fund, a revolving loan fund designed to help local enti</w:t>
      </w:r>
      <w:r w:rsidR="00B15BC0">
        <w:t>ties through low-interest loans,</w:t>
      </w:r>
      <w:r>
        <w:t xml:space="preserve"> and the Drinking Water State Revolving Fund, which involves low-int</w:t>
      </w:r>
      <w:r w:rsidR="00B15BC0">
        <w:t xml:space="preserve">erest federally funded loans. </w:t>
      </w:r>
      <w:r>
        <w:t xml:space="preserve"> </w:t>
      </w:r>
    </w:p>
    <w:p w:rsidR="00215E0F" w:rsidRDefault="00215E0F" w:rsidP="00215E0F">
      <w:pPr>
        <w:pStyle w:val="Heading5"/>
      </w:pPr>
      <w:r>
        <w:t>Birch Bay Water and Sewer</w:t>
      </w:r>
      <w:r w:rsidR="000E731C">
        <w:t xml:space="preserve"> District</w:t>
      </w:r>
    </w:p>
    <w:p w:rsidR="00215E0F" w:rsidRDefault="000E731C" w:rsidP="00215E0F">
      <w:pPr>
        <w:pStyle w:val="BodyText"/>
      </w:pPr>
      <w:r>
        <w:t>The Birch Bay Water and Sewer District provides service within and adjacent to the Bi</w:t>
      </w:r>
      <w:r w:rsidR="00D9775F">
        <w:t>rch Bay Urban Growth Area. The D</w:t>
      </w:r>
      <w:r>
        <w:t xml:space="preserve">istrict obtains its water supply from the City of Blaine (well field). The District’s facilities include over 3.1 million gallons of storage in three reservoirs, four booster pump stations and nearly </w:t>
      </w:r>
      <w:r w:rsidRPr="000E731C">
        <w:t>80</w:t>
      </w:r>
      <w:r>
        <w:t xml:space="preserve"> miles of water transmission and distribution piping. The system includes multiple interties with the City of Blaine system and an emergency intertie with the Bell Bay Jackson</w:t>
      </w:r>
      <w:r w:rsidR="00D9775F">
        <w:t xml:space="preserve"> Water Association system. The D</w:t>
      </w:r>
      <w:r>
        <w:t xml:space="preserve">istrict’s </w:t>
      </w:r>
      <w:r w:rsidRPr="00355783">
        <w:rPr>
          <w:i/>
        </w:rPr>
        <w:t>Comprehensive Water System Plan</w:t>
      </w:r>
      <w:r>
        <w:t xml:space="preserve"> (2009) and </w:t>
      </w:r>
      <w:r w:rsidRPr="00355783">
        <w:rPr>
          <w:i/>
        </w:rPr>
        <w:t>Comprehensive Water System Plan Amendment No. 1</w:t>
      </w:r>
      <w:r>
        <w:t xml:space="preserve"> (2010) indicate that existing water supply is sufficient through 2030 at the forecast demand (page ES-3, </w:t>
      </w:r>
      <w:r w:rsidR="00D9775F">
        <w:t>as amended). The D</w:t>
      </w:r>
      <w:r>
        <w:t>istrict’s plan states that additional water supply, including use of surplus storage, and/or conservation will be necessary to meet th</w:t>
      </w:r>
      <w:r w:rsidR="00D9775F">
        <w:t>e demand beyond that time. The D</w:t>
      </w:r>
      <w:r>
        <w:t>istrict’s 2009 Comprehensive Water Plan, as amended, includes several new supply and distribution projects expected to address supply deficiencies. Besides its residential</w:t>
      </w:r>
      <w:r w:rsidR="00D9775F">
        <w:t xml:space="preserve"> and commercial customers, the D</w:t>
      </w:r>
      <w:r>
        <w:t>istrict provides water supply to the BP Cherry Point Refinery.  At the time of completion of the 2009 plan, the District provided this service through a wholesale agreement with PUD 1 (see below). The 2010 amendment to the plan was developed based on an amendment to the City of Blaine water supply contract confirming additional supply, and confirming retail water</w:t>
      </w:r>
      <w:r w:rsidR="00CD53A4">
        <w:t xml:space="preserve"> supply to the Refinery by the D</w:t>
      </w:r>
      <w:r>
        <w:t xml:space="preserve">istrict. The </w:t>
      </w:r>
      <w:r w:rsidR="00D9775F">
        <w:t xml:space="preserve">District’s </w:t>
      </w:r>
      <w:r>
        <w:t xml:space="preserve">draft </w:t>
      </w:r>
      <w:r w:rsidR="00D9775F">
        <w:t>2016 Comprehensive Water Plan</w:t>
      </w:r>
      <w:r>
        <w:t xml:space="preserve"> is based on service to </w:t>
      </w:r>
      <w:r w:rsidR="00F91ECC">
        <w:t>14,565</w:t>
      </w:r>
      <w:r>
        <w:t xml:space="preserve"> persons by year 203</w:t>
      </w:r>
      <w:r w:rsidR="00CD53A4">
        <w:t xml:space="preserve">6.  </w:t>
      </w:r>
      <w:r>
        <w:t xml:space="preserve">The draft plan update is based on an annual </w:t>
      </w:r>
      <w:r w:rsidR="00982BA0">
        <w:t xml:space="preserve">water demand </w:t>
      </w:r>
      <w:r w:rsidR="00E41F46" w:rsidRPr="00F91ECC">
        <w:t xml:space="preserve">increasingly </w:t>
      </w:r>
      <w:r w:rsidRPr="00F91ECC">
        <w:t>from 116 gpd/ERU in 2015 to 135 gpd/ERU in 2036</w:t>
      </w:r>
      <w:r w:rsidR="005D1917" w:rsidRPr="00F91ECC">
        <w:t xml:space="preserve"> as seasonal homes transition into full time residences</w:t>
      </w:r>
      <w:r w:rsidRPr="00F91ECC">
        <w:t xml:space="preserve">. With service to the </w:t>
      </w:r>
      <w:r w:rsidR="00394727" w:rsidRPr="00F91ECC">
        <w:t xml:space="preserve">forecast population </w:t>
      </w:r>
      <w:r w:rsidRPr="00F91ECC">
        <w:t>and service to district commercial and other non-residential customers, the year 2036 maximum d</w:t>
      </w:r>
      <w:r w:rsidR="003B5C83">
        <w:t xml:space="preserve">ay demand is forecast to be </w:t>
      </w:r>
      <w:r w:rsidR="008C00EF" w:rsidRPr="008C00EF">
        <w:t xml:space="preserve">3.58 </w:t>
      </w:r>
      <w:r w:rsidR="00F91ECC">
        <w:t>million gallons per day</w:t>
      </w:r>
      <w:r w:rsidRPr="00F91ECC">
        <w:t xml:space="preserve">.  </w:t>
      </w:r>
      <w:r w:rsidR="005D1917" w:rsidRPr="00F91ECC">
        <w:t xml:space="preserve">The District has a contract with the City of Blaine to provide a maximum supply of 3.73 </w:t>
      </w:r>
      <w:r w:rsidR="00F91ECC">
        <w:t>million gallons per day</w:t>
      </w:r>
      <w:r w:rsidR="005D1917" w:rsidRPr="00F91ECC">
        <w:t xml:space="preserve"> in 2036.  </w:t>
      </w:r>
      <w:r w:rsidRPr="00F91ECC">
        <w:t>Birch</w:t>
      </w:r>
      <w:r>
        <w:t xml:space="preserve"> Bay’s Comprehensive Water Plan indicates that it will extend future service areas to areas within the district boundaries and provides future connection policies. </w:t>
      </w:r>
      <w:r w:rsidR="00215E0F">
        <w:t xml:space="preserve"> </w:t>
      </w:r>
    </w:p>
    <w:p w:rsidR="00394727" w:rsidRDefault="00394727" w:rsidP="00215E0F">
      <w:pPr>
        <w:pStyle w:val="BodyText"/>
      </w:pPr>
    </w:p>
    <w:p w:rsidR="00394727" w:rsidRDefault="00394727" w:rsidP="00215E0F">
      <w:pPr>
        <w:pStyle w:val="BodyText"/>
      </w:pPr>
    </w:p>
    <w:p w:rsidR="00394727" w:rsidRDefault="00394727" w:rsidP="00215E0F">
      <w:pPr>
        <w:pStyle w:val="BodyText"/>
      </w:pPr>
    </w:p>
    <w:p w:rsidR="00394727" w:rsidRDefault="00394727" w:rsidP="00215E0F">
      <w:pPr>
        <w:pStyle w:val="BodyText"/>
      </w:pPr>
    </w:p>
    <w:p w:rsidR="00215E0F" w:rsidRDefault="00215E0F" w:rsidP="00215E0F">
      <w:pPr>
        <w:pStyle w:val="Heading5"/>
      </w:pPr>
      <w:r>
        <w:lastRenderedPageBreak/>
        <w:t>City of Bellingham</w:t>
      </w:r>
    </w:p>
    <w:p w:rsidR="0043753F" w:rsidRPr="002D69E9" w:rsidRDefault="00EF009A" w:rsidP="002D69E9">
      <w:pPr>
        <w:pStyle w:val="BodyText"/>
        <w:rPr>
          <w:szCs w:val="22"/>
        </w:rPr>
      </w:pPr>
      <w:r w:rsidRPr="00EF009A">
        <w:rPr>
          <w:szCs w:val="22"/>
        </w:rPr>
        <w:t xml:space="preserve">The </w:t>
      </w:r>
      <w:r w:rsidRPr="00EF009A">
        <w:rPr>
          <w:rFonts w:eastAsia="Calibri"/>
          <w:i/>
          <w:szCs w:val="22"/>
        </w:rPr>
        <w:t>City of Bellingham Water System Plan</w:t>
      </w:r>
      <w:r w:rsidRPr="00EF009A">
        <w:rPr>
          <w:rFonts w:eastAsia="Calibri"/>
          <w:szCs w:val="22"/>
        </w:rPr>
        <w:t xml:space="preserve"> (June 2009)</w:t>
      </w:r>
      <w:r>
        <w:rPr>
          <w:rFonts w:eastAsia="Calibri"/>
          <w:szCs w:val="22"/>
        </w:rPr>
        <w:t xml:space="preserve"> and t</w:t>
      </w:r>
      <w:r w:rsidRPr="00EF009A">
        <w:rPr>
          <w:rFonts w:eastAsia="Calibri"/>
          <w:szCs w:val="22"/>
        </w:rPr>
        <w:t xml:space="preserve">he </w:t>
      </w:r>
      <w:r w:rsidRPr="00EF009A">
        <w:rPr>
          <w:rFonts w:eastAsia="Calibri"/>
          <w:i/>
          <w:szCs w:val="22"/>
        </w:rPr>
        <w:t>City of Bellingham Water System Plan</w:t>
      </w:r>
      <w:r w:rsidRPr="00EF009A">
        <w:rPr>
          <w:rFonts w:eastAsia="Calibri"/>
          <w:szCs w:val="22"/>
        </w:rPr>
        <w:t xml:space="preserve"> </w:t>
      </w:r>
      <w:r w:rsidRPr="005A7E59">
        <w:rPr>
          <w:rFonts w:eastAsia="Calibri"/>
          <w:i/>
          <w:szCs w:val="22"/>
        </w:rPr>
        <w:t>Update</w:t>
      </w:r>
      <w:r w:rsidRPr="00EF009A">
        <w:rPr>
          <w:rFonts w:eastAsia="Calibri"/>
          <w:szCs w:val="22"/>
        </w:rPr>
        <w:t xml:space="preserve"> (October 2013)</w:t>
      </w:r>
      <w:r>
        <w:rPr>
          <w:rFonts w:eastAsia="Calibri"/>
          <w:szCs w:val="22"/>
        </w:rPr>
        <w:t xml:space="preserve"> </w:t>
      </w:r>
      <w:r>
        <w:t>indicate that the City</w:t>
      </w:r>
      <w:r w:rsidRPr="00F52355">
        <w:t xml:space="preserve"> maintains a </w:t>
      </w:r>
      <w:r>
        <w:t xml:space="preserve">water system consisting </w:t>
      </w:r>
      <w:r w:rsidR="00711A80">
        <w:t>an intake from Lake Whatcom, water treatment plant, pump</w:t>
      </w:r>
      <w:r w:rsidR="005A7E59">
        <w:t xml:space="preserve"> </w:t>
      </w:r>
      <w:r w:rsidR="00711A80">
        <w:t>s</w:t>
      </w:r>
      <w:r w:rsidR="005A7E59">
        <w:t>tations</w:t>
      </w:r>
      <w:r w:rsidR="00711A80">
        <w:t>, 13 water reservoirs with over 25 million gallons of storage capacity, and almost 400</w:t>
      </w:r>
      <w:r>
        <w:t xml:space="preserve"> miles of water lines (</w:t>
      </w:r>
      <w:r w:rsidR="00711A80">
        <w:t xml:space="preserve">2009 </w:t>
      </w:r>
      <w:r w:rsidR="00711A80" w:rsidRPr="00711A80">
        <w:rPr>
          <w:i/>
        </w:rPr>
        <w:t>Water System Plan</w:t>
      </w:r>
      <w:r w:rsidR="00711A80">
        <w:t xml:space="preserve">, </w:t>
      </w:r>
      <w:r>
        <w:t xml:space="preserve">pp. </w:t>
      </w:r>
      <w:r w:rsidR="00711A80">
        <w:t>3-</w:t>
      </w:r>
      <w:r>
        <w:t>3</w:t>
      </w:r>
      <w:r w:rsidR="00711A80">
        <w:t>,</w:t>
      </w:r>
      <w:r w:rsidR="005A7E59">
        <w:t xml:space="preserve"> 3-5, 3-7,</w:t>
      </w:r>
      <w:r w:rsidR="00711A80">
        <w:t xml:space="preserve"> 3-19, 3-21, and 3-32</w:t>
      </w:r>
      <w:r>
        <w:t xml:space="preserve">). </w:t>
      </w:r>
      <w:r w:rsidRPr="00F52355">
        <w:t xml:space="preserve">The </w:t>
      </w:r>
      <w:r w:rsidR="00711A80">
        <w:t>Bellingham</w:t>
      </w:r>
      <w:r w:rsidRPr="00F52355">
        <w:t xml:space="preserve"> </w:t>
      </w:r>
      <w:r w:rsidR="00711A80">
        <w:t xml:space="preserve">water system </w:t>
      </w:r>
      <w:r w:rsidR="00B15BC0">
        <w:t xml:space="preserve">has </w:t>
      </w:r>
      <w:r w:rsidR="00711A80">
        <w:t>intertie</w:t>
      </w:r>
      <w:r w:rsidR="00B15BC0">
        <w:t>s</w:t>
      </w:r>
      <w:r w:rsidR="00711A80">
        <w:t xml:space="preserve"> with Water District 2, Water District 7, the Lake Whatcom Water and Sewer District, and five other systems (2009 </w:t>
      </w:r>
      <w:r w:rsidR="00711A80" w:rsidRPr="00711A80">
        <w:rPr>
          <w:i/>
        </w:rPr>
        <w:t>Water System Plan</w:t>
      </w:r>
      <w:r w:rsidR="00711A80">
        <w:t>, p. 1-8)</w:t>
      </w:r>
      <w:r>
        <w:t>. The projected average daily demand</w:t>
      </w:r>
      <w:r w:rsidR="00711A80">
        <w:t xml:space="preserve"> for the water system is 12.2 million gallons per day in 2032</w:t>
      </w:r>
      <w:r>
        <w:t xml:space="preserve"> and the projected</w:t>
      </w:r>
      <w:r w:rsidR="00711A80">
        <w:t xml:space="preserve"> maximum daily demand is 20 million gallons per day in 2032</w:t>
      </w:r>
      <w:r>
        <w:t xml:space="preserve"> </w:t>
      </w:r>
      <w:r w:rsidR="00711A80">
        <w:t>(</w:t>
      </w:r>
      <w:r w:rsidR="004D6944">
        <w:t>2013</w:t>
      </w:r>
      <w:r w:rsidR="00711A80">
        <w:t xml:space="preserve"> </w:t>
      </w:r>
      <w:r w:rsidR="00711A80" w:rsidRPr="00711A80">
        <w:rPr>
          <w:i/>
        </w:rPr>
        <w:t>Water System Plan</w:t>
      </w:r>
      <w:r w:rsidR="004D6944">
        <w:rPr>
          <w:i/>
        </w:rPr>
        <w:t xml:space="preserve"> Update</w:t>
      </w:r>
      <w:r w:rsidR="00711A80">
        <w:t xml:space="preserve">, </w:t>
      </w:r>
      <w:r w:rsidR="004D6944">
        <w:t>p. 2-4</w:t>
      </w:r>
      <w:r w:rsidR="00711A80">
        <w:t>)</w:t>
      </w:r>
      <w:r w:rsidR="004D6944">
        <w:t>.  The City of Bellingham</w:t>
      </w:r>
      <w:r>
        <w:t xml:space="preserve"> </w:t>
      </w:r>
      <w:r w:rsidR="004D6944">
        <w:t xml:space="preserve">has adequate water rights to meet projected demand over the </w:t>
      </w:r>
      <w:r>
        <w:t xml:space="preserve">planning period </w:t>
      </w:r>
      <w:r w:rsidR="004D6944">
        <w:t xml:space="preserve">(2013 </w:t>
      </w:r>
      <w:r w:rsidR="004D6944" w:rsidRPr="00711A80">
        <w:rPr>
          <w:i/>
        </w:rPr>
        <w:t>Water System Plan</w:t>
      </w:r>
      <w:r w:rsidR="004D6944">
        <w:rPr>
          <w:i/>
        </w:rPr>
        <w:t xml:space="preserve"> Update</w:t>
      </w:r>
      <w:r w:rsidR="004D6944">
        <w:t>, p. 2-5)</w:t>
      </w:r>
      <w:r>
        <w:t xml:space="preserve">. </w:t>
      </w:r>
      <w:r w:rsidRPr="00F52355">
        <w:t xml:space="preserve">The </w:t>
      </w:r>
      <w:r w:rsidR="004D6944" w:rsidRPr="00EF009A">
        <w:rPr>
          <w:rFonts w:eastAsia="Calibri"/>
          <w:i/>
          <w:szCs w:val="22"/>
        </w:rPr>
        <w:t>City of Bellingham Water System Plan</w:t>
      </w:r>
      <w:r w:rsidR="004D6944" w:rsidRPr="005A7E59">
        <w:rPr>
          <w:rFonts w:eastAsia="Calibri"/>
          <w:i/>
          <w:szCs w:val="22"/>
        </w:rPr>
        <w:t xml:space="preserve"> Update</w:t>
      </w:r>
      <w:r w:rsidR="005A7E59">
        <w:rPr>
          <w:rFonts w:eastAsia="Calibri"/>
          <w:szCs w:val="22"/>
        </w:rPr>
        <w:t xml:space="preserve"> </w:t>
      </w:r>
      <w:r w:rsidRPr="00F52355">
        <w:t>contains a capital improvement program with approximat</w:t>
      </w:r>
      <w:r w:rsidR="004D6944">
        <w:t>ely $50</w:t>
      </w:r>
      <w:r w:rsidRPr="00F52355">
        <w:t xml:space="preserve"> million in capital projects </w:t>
      </w:r>
      <w:r w:rsidR="00B15BC0">
        <w:t>(2016-</w:t>
      </w:r>
      <w:r w:rsidR="004D6944">
        <w:t>2018</w:t>
      </w:r>
      <w:r w:rsidRPr="00F52355">
        <w:t xml:space="preserve">).  These projects include </w:t>
      </w:r>
      <w:r w:rsidR="005A7E59">
        <w:t>a</w:t>
      </w:r>
      <w:r w:rsidR="004D6944">
        <w:t xml:space="preserve"> dissolved air flotation</w:t>
      </w:r>
      <w:r w:rsidR="00B15BC0">
        <w:t xml:space="preserve"> </w:t>
      </w:r>
      <w:r w:rsidR="00871C85">
        <w:t xml:space="preserve">pretreatment </w:t>
      </w:r>
      <w:r w:rsidR="00B15BC0">
        <w:t>system</w:t>
      </w:r>
      <w:r w:rsidR="004D6944">
        <w:t>, disinfection improvements, metering, water main replacements, property acquisitions in the Lake Whatcom Watershed</w:t>
      </w:r>
      <w:r w:rsidR="005A7E59">
        <w:t>, water quality projects in the Lake Whatcom Watershed, and Nooksack River dam and pipeline improvements</w:t>
      </w:r>
      <w:r w:rsidR="004D6944">
        <w:t xml:space="preserve"> (2013 </w:t>
      </w:r>
      <w:r w:rsidR="004D6944" w:rsidRPr="00711A80">
        <w:rPr>
          <w:i/>
        </w:rPr>
        <w:t>Water System Plan</w:t>
      </w:r>
      <w:r w:rsidR="004D6944">
        <w:rPr>
          <w:i/>
        </w:rPr>
        <w:t xml:space="preserve"> Update</w:t>
      </w:r>
      <w:r w:rsidR="004D6944">
        <w:t>, p. 5-3)</w:t>
      </w:r>
      <w:r w:rsidRPr="00F52355">
        <w:t>.</w:t>
      </w:r>
      <w:r w:rsidR="004D6944">
        <w:t xml:space="preserve">  R</w:t>
      </w:r>
      <w:r>
        <w:t xml:space="preserve">evenue sources for system improvements include </w:t>
      </w:r>
      <w:r w:rsidR="004D6944">
        <w:t xml:space="preserve">water rates, </w:t>
      </w:r>
      <w:r>
        <w:t>grants, loans,</w:t>
      </w:r>
      <w:r w:rsidR="004D6944">
        <w:t xml:space="preserve"> </w:t>
      </w:r>
      <w:r w:rsidR="00871C85">
        <w:t xml:space="preserve">utility </w:t>
      </w:r>
      <w:r w:rsidR="004D6944">
        <w:t>local improvement districts, and revenue bonds</w:t>
      </w:r>
      <w:r>
        <w:t xml:space="preserve"> </w:t>
      </w:r>
      <w:r w:rsidR="00B15BC0">
        <w:t xml:space="preserve">(2009 </w:t>
      </w:r>
      <w:r w:rsidR="00B15BC0" w:rsidRPr="00711A80">
        <w:rPr>
          <w:i/>
        </w:rPr>
        <w:t>Water System Plan</w:t>
      </w:r>
      <w:r w:rsidR="00B15BC0">
        <w:t>, p</w:t>
      </w:r>
      <w:r w:rsidR="005A7E59">
        <w:t xml:space="preserve">p </w:t>
      </w:r>
      <w:r w:rsidR="00B15BC0">
        <w:t>. ES-5</w:t>
      </w:r>
      <w:r w:rsidR="005A7E59">
        <w:t xml:space="preserve"> and 1-13</w:t>
      </w:r>
      <w:r w:rsidR="00B15BC0">
        <w:t>)</w:t>
      </w:r>
      <w:r>
        <w:t xml:space="preserve">. </w:t>
      </w:r>
      <w:r w:rsidRPr="00F52355">
        <w:t xml:space="preserve">The </w:t>
      </w:r>
      <w:r w:rsidR="005A7E59">
        <w:t>City’s financing program</w:t>
      </w:r>
      <w:r>
        <w:t xml:space="preserve"> </w:t>
      </w:r>
      <w:r w:rsidR="004D6944">
        <w:t>is</w:t>
      </w:r>
      <w:r>
        <w:t xml:space="preserve"> adequate to cover </w:t>
      </w:r>
      <w:r w:rsidR="005A7E59">
        <w:t xml:space="preserve">planned </w:t>
      </w:r>
      <w:r w:rsidR="00B15BC0">
        <w:t xml:space="preserve">capital improvements </w:t>
      </w:r>
      <w:r>
        <w:t>(</w:t>
      </w:r>
      <w:r w:rsidR="00B15BC0">
        <w:t xml:space="preserve">2013 </w:t>
      </w:r>
      <w:r w:rsidR="00B15BC0" w:rsidRPr="00711A80">
        <w:rPr>
          <w:i/>
        </w:rPr>
        <w:t>Water System Plan</w:t>
      </w:r>
      <w:r w:rsidR="00B15BC0">
        <w:rPr>
          <w:i/>
        </w:rPr>
        <w:t xml:space="preserve"> Update</w:t>
      </w:r>
      <w:r w:rsidR="00B15BC0">
        <w:t>, p. 6-1 and 6-2</w:t>
      </w:r>
      <w:r w:rsidRPr="00F52355">
        <w:t>).</w:t>
      </w:r>
    </w:p>
    <w:p w:rsidR="00215E0F" w:rsidRDefault="00215E0F" w:rsidP="00215E0F">
      <w:pPr>
        <w:pStyle w:val="Heading5"/>
      </w:pPr>
      <w:r>
        <w:t>City of Blaine</w:t>
      </w:r>
    </w:p>
    <w:p w:rsidR="002D69E9" w:rsidRPr="002D69E9" w:rsidRDefault="002D69E9" w:rsidP="002D69E9">
      <w:pPr>
        <w:spacing w:line="300" w:lineRule="atLeast"/>
      </w:pPr>
      <w:r w:rsidRPr="002D69E9">
        <w:t xml:space="preserve">The </w:t>
      </w:r>
      <w:r w:rsidR="006F69F3">
        <w:t>City</w:t>
      </w:r>
      <w:r w:rsidR="0062360C">
        <w:t xml:space="preserve"> of Blaine is</w:t>
      </w:r>
      <w:r w:rsidR="006F69F3">
        <w:t xml:space="preserve"> updating their</w:t>
      </w:r>
      <w:r w:rsidRPr="002D69E9">
        <w:t xml:space="preserve"> </w:t>
      </w:r>
      <w:r w:rsidRPr="002D69E9">
        <w:rPr>
          <w:i/>
        </w:rPr>
        <w:t>Comprehensive Water System Plan</w:t>
      </w:r>
      <w:r w:rsidRPr="002D69E9">
        <w:t xml:space="preserve"> and anticipates completion in mid-2016.  The </w:t>
      </w:r>
      <w:r w:rsidRPr="002D69E9">
        <w:rPr>
          <w:i/>
        </w:rPr>
        <w:t>City of Blaine Comprehensive Water System Plan</w:t>
      </w:r>
      <w:r w:rsidRPr="002D69E9">
        <w:t xml:space="preserve"> (2009) indicates that the City maintains a water system consisting of wells, a water treatment plant, booster pumps, five water reservoirs with a storage capacity of 4.59 million gallons, and approximately 95 miles of water lines up to 18 inches in diameter (City GIS data). The Blaine water system serves city residents and provides water, per terms of wholesale supply agreements, to both the Birch Bay Water and Sewer District and the Bell Bay Jackson Water Association.  The City provides service throughout the current City Limits, with the exception of a few parcels </w:t>
      </w:r>
      <w:r w:rsidR="006F69F3">
        <w:t xml:space="preserve">that are presently </w:t>
      </w:r>
      <w:r w:rsidRPr="002D69E9">
        <w:t xml:space="preserve">served directly by the Birch Bay </w:t>
      </w:r>
      <w:r w:rsidR="006F69F3" w:rsidRPr="002D69E9">
        <w:t>Water and Sewer District</w:t>
      </w:r>
      <w:r w:rsidRPr="002D69E9">
        <w:t xml:space="preserve">.  The City also serves the Pipeline Road UGA, but service to the Shipyard UGA is by Birch Bay Water and Sewer District.  The City also serves an area of unincorporated Whatcom County southeast of the City.  This service area was declared in 2010 and is anticipated to remain unchanged as a result of the City’s work on its 2016 </w:t>
      </w:r>
      <w:r w:rsidRPr="002D69E9">
        <w:rPr>
          <w:i/>
        </w:rPr>
        <w:t>Comprehensive Water System Plan</w:t>
      </w:r>
      <w:r w:rsidRPr="002D69E9">
        <w:t xml:space="preserve">.  </w:t>
      </w:r>
    </w:p>
    <w:p w:rsidR="002D69E9" w:rsidRPr="002D69E9" w:rsidRDefault="002D69E9" w:rsidP="002D69E9">
      <w:pPr>
        <w:spacing w:line="300" w:lineRule="atLeast"/>
      </w:pPr>
      <w:r w:rsidRPr="002D69E9">
        <w:t>The projected average daily demand for the Blaine water system is approximately 2.7 million gallons per day in 2036 and the projected maximum daily demand is  approximately 5.4 million gallons per day in 2036 (2016 Plan, work in progress).</w:t>
      </w:r>
      <w:r w:rsidR="00F9298E">
        <w:t xml:space="preserve">  This preliminary</w:t>
      </w:r>
      <w:r w:rsidRPr="002D69E9">
        <w:t xml:space="preserve"> forecast is significantly lower than as presented in the 2009 </w:t>
      </w:r>
      <w:r w:rsidRPr="002D69E9">
        <w:rPr>
          <w:i/>
        </w:rPr>
        <w:t>Comprehensive Water System Plan</w:t>
      </w:r>
      <w:r w:rsidRPr="002D69E9">
        <w:t xml:space="preserve"> due to lower residential growth rate forecasts in the City’s UGA, and lower water use per single family equivalent, in both the City and Birch Bay Water and Sewer District systems.  The </w:t>
      </w:r>
      <w:r w:rsidRPr="002D69E9">
        <w:rPr>
          <w:i/>
        </w:rPr>
        <w:t>City of Blaine Comprehensive Water System Plan</w:t>
      </w:r>
      <w:r w:rsidRPr="002D69E9">
        <w:t xml:space="preserve"> (2009) documents water rights in the form of a claim, permits and certificates in </w:t>
      </w:r>
      <w:r w:rsidRPr="002D69E9">
        <w:lastRenderedPageBreak/>
        <w:t xml:space="preserve">the amount of 4.28 million gallons per day (instantaneous).  Subsequent efforts have increased the City’s water rights in the form of a claim, permits and certificates in the amount of 7.776 million gallons per day (instantaneous).  Those efforts included securing a portion of the water rights held by Birch Bay Water and Sewer District, by amendment to the water supply agreement.  The additional rights are reflected in Water Rights No. G1-26820, G1-28481, G1-26821 and G128046.  Comparison of the year 2036 forecast demand to current water rights indicates that the city has adequate water supply to meet the needs of population growth over the 20 year period.  </w:t>
      </w:r>
    </w:p>
    <w:p w:rsidR="0043753F" w:rsidRDefault="002D69E9" w:rsidP="002D69E9">
      <w:pPr>
        <w:pStyle w:val="BodyText"/>
      </w:pPr>
      <w:r w:rsidRPr="002D69E9">
        <w:t xml:space="preserve">The </w:t>
      </w:r>
      <w:r w:rsidRPr="002D69E9">
        <w:rPr>
          <w:i/>
        </w:rPr>
        <w:t>City of Blaine Comprehensive Water System Plan</w:t>
      </w:r>
      <w:r w:rsidRPr="002D69E9">
        <w:t xml:space="preserve"> (2009) contains a capital improvement program with approximately $22 million in capital projects over the 20 year planning period (2009 - 2029).  Several of those projects have been completed since 2009.  The </w:t>
      </w:r>
      <w:r w:rsidRPr="002D69E9">
        <w:rPr>
          <w:i/>
        </w:rPr>
        <w:t>City of Blaine Comprehensive Water System Plan</w:t>
      </w:r>
      <w:r w:rsidRPr="002D69E9">
        <w:t xml:space="preserve"> (2016 – work in progress) will include the remaining projects, subject to updated analysis in the context of the revised demand forecast.  Some additional projects may be identified where opportunity or strategy arises to address a water system need more efficiently, or in phases, or to meet additional City objectives.  Projects are identified and planned to maintain adequate capacity for all elements of the system, from supply through treatment, storage, transmission and distribution, as well as capital needs for operation and management of the system.  Anticipated revenue sources for capital improvements include grants, loans, connection fees, water rates and developer constructed facility contracts  (2009 Plan</w:t>
      </w:r>
      <w:r w:rsidR="00F9298E">
        <w:t>,</w:t>
      </w:r>
      <w:r w:rsidRPr="002D69E9">
        <w:t xml:space="preserve"> p. 9-3). The City’s financing plan has and will project adequate revenues to cover expenses over the 20-year planning period (2009 Plan</w:t>
      </w:r>
      <w:r w:rsidR="00F9298E">
        <w:t>,</w:t>
      </w:r>
      <w:r w:rsidRPr="002D69E9">
        <w:t xml:space="preserve"> p. 9-1).</w:t>
      </w:r>
    </w:p>
    <w:p w:rsidR="00215E0F" w:rsidRDefault="00215E0F" w:rsidP="00215E0F">
      <w:pPr>
        <w:pStyle w:val="Heading5"/>
      </w:pPr>
      <w:r>
        <w:t>City of Everson</w:t>
      </w:r>
    </w:p>
    <w:p w:rsidR="00F52355" w:rsidRDefault="00F52355" w:rsidP="00215E0F">
      <w:pPr>
        <w:pStyle w:val="BodyText"/>
      </w:pPr>
      <w:r w:rsidRPr="00F52355">
        <w:t xml:space="preserve">The </w:t>
      </w:r>
      <w:r w:rsidRPr="00F52355">
        <w:rPr>
          <w:i/>
        </w:rPr>
        <w:t>City of Everson Water System Comprehensive Plan</w:t>
      </w:r>
      <w:r w:rsidR="007D1F2C">
        <w:t xml:space="preserve"> (2013</w:t>
      </w:r>
      <w:r>
        <w:t>) and t</w:t>
      </w:r>
      <w:r w:rsidRPr="00F52355">
        <w:t xml:space="preserve">he </w:t>
      </w:r>
      <w:r w:rsidRPr="00F52355">
        <w:rPr>
          <w:i/>
        </w:rPr>
        <w:t>City of Everson Water System Comprehensive Plan Amendment No. 1</w:t>
      </w:r>
      <w:r>
        <w:t xml:space="preserve"> (2015) indicate</w:t>
      </w:r>
      <w:r w:rsidRPr="00F52355">
        <w:t xml:space="preserve"> that the City of Everson maintains a </w:t>
      </w:r>
      <w:r>
        <w:t>water system consisting of a w</w:t>
      </w:r>
      <w:r w:rsidR="007D1F2C">
        <w:t xml:space="preserve">ell field with three wells, </w:t>
      </w:r>
      <w:r>
        <w:t xml:space="preserve">booster pumps, three 160,000 gallon water reservoirs, and </w:t>
      </w:r>
      <w:r w:rsidR="007D1F2C">
        <w:t>over 13 miles of water lines</w:t>
      </w:r>
      <w:r>
        <w:t xml:space="preserve"> (</w:t>
      </w:r>
      <w:r w:rsidR="007D1F2C">
        <w:t>p</w:t>
      </w:r>
      <w:r>
        <w:t xml:space="preserve">p. </w:t>
      </w:r>
      <w:r w:rsidR="007D1F2C">
        <w:t xml:space="preserve">3 and </w:t>
      </w:r>
      <w:r>
        <w:t xml:space="preserve">10-12). </w:t>
      </w:r>
      <w:r w:rsidRPr="00F52355">
        <w:t xml:space="preserve">The Everson </w:t>
      </w:r>
      <w:r w:rsidR="00D65EBA">
        <w:t xml:space="preserve">water system also has an intertie with the City of Nooksack </w:t>
      </w:r>
      <w:r w:rsidR="007D1F2C">
        <w:t>Water System</w:t>
      </w:r>
      <w:r w:rsidR="00012E38">
        <w:t xml:space="preserve"> for use during maintenance or an emergency</w:t>
      </w:r>
      <w:r w:rsidR="007D1F2C">
        <w:t xml:space="preserve"> (p</w:t>
      </w:r>
      <w:r w:rsidR="00012E38">
        <w:t>p</w:t>
      </w:r>
      <w:r w:rsidR="007D1F2C">
        <w:t>. 3</w:t>
      </w:r>
      <w:r w:rsidR="00012E38">
        <w:t xml:space="preserve"> and 17</w:t>
      </w:r>
      <w:r w:rsidR="00D65EBA">
        <w:t xml:space="preserve">). </w:t>
      </w:r>
      <w:r w:rsidR="00D910D8">
        <w:t xml:space="preserve">The projected average daily demand for the water system is 483,500 gallons per day in 2036 and the projected maximum daily demand is 908,980 gallons per day in 2036 (p. 11).  The City of Everson’s water system has source capacity to meet the projected need over the 20-year planning period (pp. 10-11). </w:t>
      </w:r>
      <w:r w:rsidRPr="00F52355">
        <w:t xml:space="preserve">The </w:t>
      </w:r>
      <w:r w:rsidR="00D65EBA" w:rsidRPr="00D65EBA">
        <w:rPr>
          <w:i/>
        </w:rPr>
        <w:t>City of Everson Water System Comprehensive Plan Amendment No. 1</w:t>
      </w:r>
      <w:r w:rsidRPr="00F52355">
        <w:t xml:space="preserve"> contains a capital improvement program with approximat</w:t>
      </w:r>
      <w:r w:rsidR="00D65EBA">
        <w:t>ely $3.3</w:t>
      </w:r>
      <w:r w:rsidRPr="00F52355">
        <w:t xml:space="preserve"> million in capital projects over the next 20 years (2016 - 2036).  These projects include </w:t>
      </w:r>
      <w:r w:rsidR="00D65EBA">
        <w:t>water line improvements, an additional deep well</w:t>
      </w:r>
      <w:r w:rsidR="00D910D8">
        <w:t xml:space="preserve"> (to replace two existing shallow wells)</w:t>
      </w:r>
      <w:r w:rsidR="00D65EBA">
        <w:t xml:space="preserve">, water treatment facilities, </w:t>
      </w:r>
      <w:r w:rsidR="007D1F2C">
        <w:t xml:space="preserve">and </w:t>
      </w:r>
      <w:r w:rsidR="00D65EBA">
        <w:t>an additional 160,000 gallon storage reservoir</w:t>
      </w:r>
      <w:r w:rsidR="00D54BC4">
        <w:t xml:space="preserve"> (p</w:t>
      </w:r>
      <w:r w:rsidR="007D1F2C">
        <w:t>p</w:t>
      </w:r>
      <w:r w:rsidR="00012E38">
        <w:t>. 39-</w:t>
      </w:r>
      <w:r w:rsidR="00D54BC4">
        <w:t>42</w:t>
      </w:r>
      <w:r w:rsidRPr="00F52355">
        <w:t>).</w:t>
      </w:r>
      <w:r w:rsidR="0005555C">
        <w:t xml:space="preserve">  </w:t>
      </w:r>
      <w:r w:rsidR="00697FF8">
        <w:t xml:space="preserve">Anticipated revenue sources for system improvements include grants, loans, connection fees, water rates and developer constructed facility contracts (p. 43). </w:t>
      </w:r>
      <w:r w:rsidRPr="00F52355">
        <w:t xml:space="preserve">The </w:t>
      </w:r>
      <w:r w:rsidR="0005555C">
        <w:t>City’s financing plan projects adequate revenues to cover expenses over the 20-year planning period (Appendix D</w:t>
      </w:r>
      <w:r w:rsidRPr="00F52355">
        <w:t>).</w:t>
      </w:r>
    </w:p>
    <w:p w:rsidR="00EE3BF0" w:rsidRDefault="00EE3BF0" w:rsidP="00215E0F">
      <w:pPr>
        <w:pStyle w:val="BodyText"/>
      </w:pPr>
    </w:p>
    <w:p w:rsidR="00215E0F" w:rsidRDefault="00215E0F" w:rsidP="00215E0F">
      <w:pPr>
        <w:pStyle w:val="Heading5"/>
      </w:pPr>
      <w:r>
        <w:lastRenderedPageBreak/>
        <w:t>City of Ferndale</w:t>
      </w:r>
    </w:p>
    <w:p w:rsidR="00EC3932" w:rsidRDefault="00B46D6C" w:rsidP="00B76BB7">
      <w:pPr>
        <w:pStyle w:val="BodyText"/>
      </w:pPr>
      <w:r w:rsidRPr="0036575D">
        <w:t xml:space="preserve">The Draft </w:t>
      </w:r>
      <w:r w:rsidRPr="0036575D">
        <w:rPr>
          <w:i/>
        </w:rPr>
        <w:t>City of Ferndale Water System Plan</w:t>
      </w:r>
      <w:r w:rsidRPr="0036575D">
        <w:t xml:space="preserve"> (2016) indicates that the City maintains a water system consisting of wells, a water treatment plant, </w:t>
      </w:r>
      <w:r>
        <w:t>three</w:t>
      </w:r>
      <w:r w:rsidRPr="0036575D">
        <w:t xml:space="preserve"> water reservoi</w:t>
      </w:r>
      <w:r>
        <w:t>rs with a storage capacity of almost three</w:t>
      </w:r>
      <w:r w:rsidR="00EF497E">
        <w:t xml:space="preserve"> million</w:t>
      </w:r>
      <w:r w:rsidRPr="0036575D">
        <w:t xml:space="preserve"> gallons, two pump stations, one pressure booster station and 73 </w:t>
      </w:r>
      <w:r>
        <w:t>miles of water lines</w:t>
      </w:r>
      <w:r w:rsidRPr="0036575D">
        <w:t xml:space="preserve">. In December 2011, Ferndale converted to a groundwater supply with greensand filtration for its drinking water. Previous to this, it purchased </w:t>
      </w:r>
      <w:r>
        <w:t>i</w:t>
      </w:r>
      <w:r w:rsidRPr="0036575D">
        <w:t>ndustrial grade wa</w:t>
      </w:r>
      <w:r w:rsidR="00EF497E">
        <w:t>ter from PUD No.1 and treated the water</w:t>
      </w:r>
      <w:r w:rsidRPr="0036575D">
        <w:t xml:space="preserve"> at its own surface water treatment p</w:t>
      </w:r>
      <w:r>
        <w:t>lant. In October 2014, Ferndale</w:t>
      </w:r>
      <w:r w:rsidRPr="0036575D">
        <w:t xml:space="preserve"> added a reverse osmosis system to treat its groundwater supply to reduce hardness. The City no longer purchases water from PUD No. 1. The Ferndale water system has interties for emergency use only with Mountain View Water Association,</w:t>
      </w:r>
      <w:r>
        <w:t xml:space="preserve"> </w:t>
      </w:r>
      <w:r w:rsidRPr="0036575D">
        <w:t>Northwest Water Association,</w:t>
      </w:r>
      <w:r>
        <w:t xml:space="preserve"> </w:t>
      </w:r>
      <w:r w:rsidRPr="0036575D">
        <w:t>Thornton Water Associa</w:t>
      </w:r>
      <w:r>
        <w:t xml:space="preserve">tion and North Star Water </w:t>
      </w:r>
      <w:r w:rsidRPr="0036575D">
        <w:t>Association</w:t>
      </w:r>
      <w:r>
        <w:t xml:space="preserve"> </w:t>
      </w:r>
      <w:r w:rsidRPr="0036575D">
        <w:t xml:space="preserve">(p. 2-18). The projected average daily demand for the Ferndale water system is 2.27 </w:t>
      </w:r>
      <w:r>
        <w:t xml:space="preserve">million </w:t>
      </w:r>
      <w:r w:rsidRPr="0036575D">
        <w:t>gallons per day in 2036 and the projected maximum daily demand is 3.96</w:t>
      </w:r>
      <w:r>
        <w:t xml:space="preserve"> million </w:t>
      </w:r>
      <w:r w:rsidRPr="0036575D">
        <w:t xml:space="preserve">gallons per day in 2036 (p. 2-15).  The Draft </w:t>
      </w:r>
      <w:r w:rsidRPr="0036575D">
        <w:rPr>
          <w:i/>
        </w:rPr>
        <w:t>City of Ferndale Water System Plan</w:t>
      </w:r>
      <w:r w:rsidRPr="0036575D">
        <w:t xml:space="preserve"> indicates that the city has adequate water rights to meet the needs of population gro</w:t>
      </w:r>
      <w:r>
        <w:t>wth over the 20 year period (p.</w:t>
      </w:r>
      <w:r w:rsidRPr="0036575D">
        <w:t xml:space="preserve"> 1-12).  The Draft </w:t>
      </w:r>
      <w:r w:rsidRPr="0036575D">
        <w:rPr>
          <w:i/>
        </w:rPr>
        <w:t>City of Ferndale Water System Plan</w:t>
      </w:r>
      <w:r w:rsidRPr="0036575D">
        <w:t xml:space="preserve"> contains a capital improvement program with approximately $20 million in capital projects over the next 20 years (2016 -</w:t>
      </w:r>
      <w:r>
        <w:t xml:space="preserve"> 2036).  These projects include</w:t>
      </w:r>
      <w:r w:rsidRPr="0036575D">
        <w:t xml:space="preserve"> water main upgrades and replacements, increasing well production and redundancy, and constructing additional storage</w:t>
      </w:r>
      <w:r>
        <w:t xml:space="preserve"> </w:t>
      </w:r>
      <w:r w:rsidR="00EF497E">
        <w:t>(</w:t>
      </w:r>
      <w:r w:rsidRPr="0036575D">
        <w:t>p. 3-16).  Anticipated revenue sources for capital improvements include grants, loans, bonds, connection fees, water rates and developer constructed facility contracts</w:t>
      </w:r>
      <w:r>
        <w:t>.</w:t>
      </w:r>
      <w:r w:rsidRPr="0036575D">
        <w:t xml:space="preserve">  If applicable, the City may </w:t>
      </w:r>
      <w:r>
        <w:t xml:space="preserve">also </w:t>
      </w:r>
      <w:r w:rsidR="006072CB">
        <w:t>utilize the utility local i</w:t>
      </w:r>
      <w:r w:rsidRPr="0036575D">
        <w:t>mprovement</w:t>
      </w:r>
      <w:r w:rsidR="006072CB">
        <w:t xml:space="preserve"> district </w:t>
      </w:r>
      <w:r>
        <w:t>process</w:t>
      </w:r>
      <w:r w:rsidRPr="0036575D">
        <w:t xml:space="preserve"> (Ch.</w:t>
      </w:r>
      <w:r>
        <w:t xml:space="preserve"> </w:t>
      </w:r>
      <w:r w:rsidRPr="0036575D">
        <w:t>9</w:t>
      </w:r>
      <w:r>
        <w:t>)</w:t>
      </w:r>
      <w:r w:rsidRPr="0036575D">
        <w:t>. The City has maintained budgetary controls over the water system. Rates and connection fees will continue to be set at levels required to finance operation, maintenance, and capital improvements (Ch.</w:t>
      </w:r>
      <w:r>
        <w:t xml:space="preserve"> </w:t>
      </w:r>
      <w:r w:rsidRPr="0036575D">
        <w:t>9)</w:t>
      </w:r>
      <w:r>
        <w:t>.</w:t>
      </w:r>
    </w:p>
    <w:p w:rsidR="00215E0F" w:rsidRDefault="00215E0F" w:rsidP="00215E0F">
      <w:pPr>
        <w:pStyle w:val="Heading5"/>
      </w:pPr>
      <w:r w:rsidRPr="00942068">
        <w:t>City of Lynden</w:t>
      </w:r>
    </w:p>
    <w:p w:rsidR="00C624D6" w:rsidRDefault="00EC3932" w:rsidP="00215E0F">
      <w:pPr>
        <w:pStyle w:val="BodyText"/>
      </w:pPr>
      <w:r w:rsidRPr="00EC3932">
        <w:t xml:space="preserve">The Draft </w:t>
      </w:r>
      <w:r w:rsidRPr="00EC3932">
        <w:rPr>
          <w:i/>
        </w:rPr>
        <w:t>City of Lynden Water System Plan</w:t>
      </w:r>
      <w:r w:rsidRPr="00EC3932">
        <w:t xml:space="preserve"> (2016) indicates that the City of Lynden maintains a water system consisting of a Nooksack River water intake structure, water treatment plant, booster pumps, two water reservoirs with a storage capacity of </w:t>
      </w:r>
      <w:r w:rsidR="00691043">
        <w:t>approximately 8.47 million</w:t>
      </w:r>
      <w:r w:rsidRPr="00EC3932">
        <w:t xml:space="preserve"> gallons, and 82 miles</w:t>
      </w:r>
      <w:r w:rsidR="00A0607B">
        <w:t xml:space="preserve"> of water lines (</w:t>
      </w:r>
      <w:r w:rsidR="00691043">
        <w:t>Chapter 2</w:t>
      </w:r>
      <w:r w:rsidR="00A0607B">
        <w:t>)</w:t>
      </w:r>
      <w:r w:rsidR="00691043">
        <w:t>. The City's new 8 million gallon per day</w:t>
      </w:r>
      <w:r w:rsidRPr="00EC3932">
        <w:t xml:space="preserve"> Water Treatment Plant went online September 23, 2015.  The new plant doubles treatment capacity includes grit removal and sedimentation basins equipped with plate settlers to handle the heavy sediment load from the Nooksack River.  The facility also features high rate deep bed gravity filters, and a combination of UV disinfection and chlorine to disinfect the water. The Lynden water system provides wholesale water supply to two water association systems (Chapter 2). The projected average daily demand for the Lynden water system is 2.44 million gallons per day in 2036 and the projected maximum daily demand is 6.35 million gallons per day in 2036 (Chapter 4).  The Draft </w:t>
      </w:r>
      <w:r w:rsidRPr="00EC3932">
        <w:rPr>
          <w:i/>
        </w:rPr>
        <w:t>City of Lynden Water System Plan</w:t>
      </w:r>
      <w:r w:rsidRPr="00EC3932">
        <w:t xml:space="preserve"> indicat</w:t>
      </w:r>
      <w:r w:rsidR="00691043">
        <w:t>es that the C</w:t>
      </w:r>
      <w:r w:rsidRPr="00EC3932">
        <w:t>ity has adequate water supply to meet the needs of population growth over the 20 year period (Chapter 7). However, the City of Lynden and Ecology have an existing dispute o</w:t>
      </w:r>
      <w:r w:rsidR="00691043">
        <w:t>ver the City water rights. The C</w:t>
      </w:r>
      <w:r w:rsidRPr="00EC3932">
        <w:t xml:space="preserve">ity has entered into a memorandum of agreement (MOA) with Ecology to address long-standing </w:t>
      </w:r>
      <w:r w:rsidR="00691043">
        <w:t>water right issues between the C</w:t>
      </w:r>
      <w:r w:rsidRPr="00EC3932">
        <w:t>ity and Ecology. Resolution of water supply issues for City of Lynden is import</w:t>
      </w:r>
      <w:r w:rsidR="00691043">
        <w:t>ant for future planning in the C</w:t>
      </w:r>
      <w:r w:rsidRPr="00EC3932">
        <w:t xml:space="preserve">ity’s water service area.  The Draft </w:t>
      </w:r>
      <w:r w:rsidRPr="00EC3932">
        <w:rPr>
          <w:i/>
        </w:rPr>
        <w:t>City of Lynden Water System Plan</w:t>
      </w:r>
      <w:r w:rsidRPr="00EC3932">
        <w:t xml:space="preserve"> contains a capital improvement </w:t>
      </w:r>
      <w:r w:rsidRPr="00EC3932">
        <w:lastRenderedPageBreak/>
        <w:t>program in Chapter 9 that will include a new reservoir and booster pump station, as well as various water main improvements to increase distribution capacity and replace aging infrastructure.  Anticipated revenue sources for capital improvements include grants, loans, connection fees, water rates and developer constructed facility contracts as discussed in Chapter 10. The City’s financing plan projects adequate revenues to cover expenses over the 20-year planning period (Chapter 10).</w:t>
      </w:r>
    </w:p>
    <w:p w:rsidR="00215E0F" w:rsidRDefault="00215E0F" w:rsidP="00215E0F">
      <w:pPr>
        <w:pStyle w:val="Heading5"/>
      </w:pPr>
      <w:r>
        <w:t>City of Nooksack</w:t>
      </w:r>
    </w:p>
    <w:p w:rsidR="002D1334" w:rsidRDefault="002D1334" w:rsidP="00215E0F">
      <w:pPr>
        <w:pStyle w:val="BodyText"/>
      </w:pPr>
      <w:r w:rsidRPr="00F52355">
        <w:t xml:space="preserve">The </w:t>
      </w:r>
      <w:r>
        <w:rPr>
          <w:i/>
        </w:rPr>
        <w:t xml:space="preserve">City of Nooksack Water System </w:t>
      </w:r>
      <w:r w:rsidRPr="00F52355">
        <w:rPr>
          <w:i/>
        </w:rPr>
        <w:t>Plan</w:t>
      </w:r>
      <w:r>
        <w:t xml:space="preserve"> (2012) and t</w:t>
      </w:r>
      <w:r w:rsidRPr="00F52355">
        <w:t xml:space="preserve">he </w:t>
      </w:r>
      <w:r w:rsidRPr="00F52355">
        <w:rPr>
          <w:i/>
        </w:rPr>
        <w:t xml:space="preserve">City of </w:t>
      </w:r>
      <w:r>
        <w:rPr>
          <w:i/>
        </w:rPr>
        <w:t>Nooksack Water System Plan Update</w:t>
      </w:r>
      <w:r>
        <w:t xml:space="preserve"> (2016) indicate that the City of Nooksack obtains </w:t>
      </w:r>
      <w:r w:rsidR="00266AE8">
        <w:t xml:space="preserve">all its </w:t>
      </w:r>
      <w:r>
        <w:t>water from the City of Sumas (</w:t>
      </w:r>
      <w:r w:rsidRPr="002D1334">
        <w:rPr>
          <w:i/>
        </w:rPr>
        <w:t>Water System Plan Update</w:t>
      </w:r>
      <w:r>
        <w:t>, p. 9).  Nooksack</w:t>
      </w:r>
      <w:r w:rsidRPr="00F52355">
        <w:t xml:space="preserve"> maintains a </w:t>
      </w:r>
      <w:r>
        <w:t xml:space="preserve">water system consisting of booster pumps, water reservoirs </w:t>
      </w:r>
      <w:r w:rsidR="002C6D08">
        <w:t>shared with the Nooksack Valley Water Association with a capacity of 700</w:t>
      </w:r>
      <w:r>
        <w:t>,000 gallons</w:t>
      </w:r>
      <w:r w:rsidR="004763A3">
        <w:t xml:space="preserve"> </w:t>
      </w:r>
      <w:r w:rsidR="004763A3" w:rsidRPr="004763A3">
        <w:t>(one-half of which is owned by Nooksack)</w:t>
      </w:r>
      <w:r>
        <w:t>, and over 8 miles of water lines (</w:t>
      </w:r>
      <w:r>
        <w:rPr>
          <w:i/>
        </w:rPr>
        <w:t>Water System Plan</w:t>
      </w:r>
      <w:r w:rsidR="00266AE8">
        <w:rPr>
          <w:i/>
        </w:rPr>
        <w:t>,</w:t>
      </w:r>
      <w:r>
        <w:t xml:space="preserve"> pp. 10 and 31). The Nooksack water system has interties with the Nooksack Valley Water Association and, for emergency purposes, with the </w:t>
      </w:r>
      <w:r w:rsidRPr="00F52355">
        <w:t xml:space="preserve">Everson </w:t>
      </w:r>
      <w:r>
        <w:t>water system (</w:t>
      </w:r>
      <w:r w:rsidR="00F1154E">
        <w:rPr>
          <w:i/>
        </w:rPr>
        <w:t>Water System Plan</w:t>
      </w:r>
      <w:r w:rsidR="00266AE8">
        <w:rPr>
          <w:i/>
        </w:rPr>
        <w:t>,</w:t>
      </w:r>
      <w:r w:rsidR="00F1154E">
        <w:t xml:space="preserve"> </w:t>
      </w:r>
      <w:r>
        <w:t>p</w:t>
      </w:r>
      <w:r w:rsidR="00EA4BA3">
        <w:t>p</w:t>
      </w:r>
      <w:r>
        <w:t>.</w:t>
      </w:r>
      <w:r w:rsidR="00EA4BA3">
        <w:t xml:space="preserve"> 14 and</w:t>
      </w:r>
      <w:r>
        <w:t xml:space="preserve"> 43). The projected average daily demand for the water system is </w:t>
      </w:r>
      <w:r w:rsidR="00EA4BA3">
        <w:t>165,55</w:t>
      </w:r>
      <w:r w:rsidR="00F1154E">
        <w:t>0</w:t>
      </w:r>
      <w:r>
        <w:t xml:space="preserve"> g</w:t>
      </w:r>
      <w:r w:rsidR="00F1154E">
        <w:t>allons per day in 2036</w:t>
      </w:r>
      <w:r>
        <w:t xml:space="preserve"> (</w:t>
      </w:r>
      <w:r w:rsidR="00F1154E">
        <w:t xml:space="preserve">derived from </w:t>
      </w:r>
      <w:r w:rsidR="00F1154E">
        <w:rPr>
          <w:i/>
        </w:rPr>
        <w:t>Water System Plan Update</w:t>
      </w:r>
      <w:r w:rsidR="00266AE8">
        <w:rPr>
          <w:i/>
        </w:rPr>
        <w:t>,</w:t>
      </w:r>
      <w:r w:rsidR="00F1154E">
        <w:t xml:space="preserve"> Table D-2</w:t>
      </w:r>
      <w:r>
        <w:t xml:space="preserve">).  The City of </w:t>
      </w:r>
      <w:r w:rsidR="00F1154E">
        <w:t>Nooksack</w:t>
      </w:r>
      <w:r>
        <w:t>’s w</w:t>
      </w:r>
      <w:r w:rsidR="00F1154E">
        <w:t xml:space="preserve">ater system has </w:t>
      </w:r>
      <w:r>
        <w:t>cap</w:t>
      </w:r>
      <w:r w:rsidR="00EA4BA3">
        <w:t>acity to meet the projected demand</w:t>
      </w:r>
      <w:r>
        <w:t xml:space="preserve"> over the 20-year planning period (</w:t>
      </w:r>
      <w:r w:rsidR="00F1154E">
        <w:rPr>
          <w:i/>
        </w:rPr>
        <w:t>Water System Plan Update</w:t>
      </w:r>
      <w:r w:rsidR="00266AE8">
        <w:rPr>
          <w:i/>
        </w:rPr>
        <w:t>,</w:t>
      </w:r>
      <w:r w:rsidR="00F1154E">
        <w:t xml:space="preserve"> Tables D-2 and D-3</w:t>
      </w:r>
      <w:r>
        <w:t xml:space="preserve">). </w:t>
      </w:r>
      <w:r w:rsidRPr="00F52355">
        <w:t xml:space="preserve">The </w:t>
      </w:r>
      <w:r w:rsidR="00F1154E" w:rsidRPr="00F52355">
        <w:rPr>
          <w:i/>
        </w:rPr>
        <w:t xml:space="preserve">City of </w:t>
      </w:r>
      <w:r w:rsidR="00F1154E">
        <w:rPr>
          <w:i/>
        </w:rPr>
        <w:t>Nooksack Water System Plan Update</w:t>
      </w:r>
      <w:r w:rsidRPr="00F52355">
        <w:t xml:space="preserve"> contains a capital improvement program with </w:t>
      </w:r>
      <w:r w:rsidR="00F1154E">
        <w:t>over $1</w:t>
      </w:r>
      <w:r w:rsidRPr="00F52355">
        <w:t xml:space="preserve"> million in capital projects over the next 20 years (2016 - 2036).  These projects include </w:t>
      </w:r>
      <w:r>
        <w:t>water line</w:t>
      </w:r>
      <w:r w:rsidR="00EA4BA3">
        <w:t>, standpipe</w:t>
      </w:r>
      <w:r>
        <w:t xml:space="preserve"> </w:t>
      </w:r>
      <w:r w:rsidR="00F1154E">
        <w:t xml:space="preserve">and hydrant </w:t>
      </w:r>
      <w:r>
        <w:t>improvements (</w:t>
      </w:r>
      <w:r w:rsidR="00F1154E">
        <w:rPr>
          <w:i/>
        </w:rPr>
        <w:t>Water System Plan Update</w:t>
      </w:r>
      <w:r w:rsidR="00266AE8">
        <w:rPr>
          <w:i/>
        </w:rPr>
        <w:t>,</w:t>
      </w:r>
      <w:r w:rsidR="00F1154E">
        <w:t xml:space="preserve"> p. 12</w:t>
      </w:r>
      <w:r w:rsidRPr="00F52355">
        <w:t>).</w:t>
      </w:r>
      <w:r>
        <w:t xml:space="preserve">  Anticipated revenue </w:t>
      </w:r>
      <w:r w:rsidR="00EA4BA3">
        <w:t xml:space="preserve">sources </w:t>
      </w:r>
      <w:r>
        <w:t xml:space="preserve">include </w:t>
      </w:r>
      <w:r w:rsidR="001825F2">
        <w:t>water rates, connection fees, u</w:t>
      </w:r>
      <w:r w:rsidR="00093290">
        <w:t xml:space="preserve">tility taxes, interest, </w:t>
      </w:r>
      <w:r w:rsidR="001825F2">
        <w:t>reserves</w:t>
      </w:r>
      <w:r w:rsidR="00EA4BA3">
        <w:t>,</w:t>
      </w:r>
      <w:r w:rsidR="001825F2">
        <w:t xml:space="preserve"> grants, and</w:t>
      </w:r>
      <w:r>
        <w:t xml:space="preserve"> loans. </w:t>
      </w:r>
      <w:r w:rsidRPr="00F52355">
        <w:t xml:space="preserve">The </w:t>
      </w:r>
      <w:r>
        <w:t xml:space="preserve">City’s financing plan projects adequate revenues to cover </w:t>
      </w:r>
      <w:r w:rsidR="001825F2">
        <w:t>expenses over the six</w:t>
      </w:r>
      <w:r>
        <w:t>-year planning period (</w:t>
      </w:r>
      <w:r w:rsidR="007E4DC3">
        <w:rPr>
          <w:i/>
        </w:rPr>
        <w:t xml:space="preserve">Water </w:t>
      </w:r>
      <w:r w:rsidR="001825F2">
        <w:rPr>
          <w:i/>
        </w:rPr>
        <w:t>System Plan Update</w:t>
      </w:r>
      <w:r w:rsidR="00266AE8">
        <w:rPr>
          <w:i/>
        </w:rPr>
        <w:t>,</w:t>
      </w:r>
      <w:r w:rsidR="001825F2">
        <w:t xml:space="preserve"> pp. 13-15</w:t>
      </w:r>
      <w:r w:rsidRPr="00F52355">
        <w:t>).</w:t>
      </w:r>
    </w:p>
    <w:p w:rsidR="001825F2" w:rsidRDefault="001825F2" w:rsidP="001825F2">
      <w:pPr>
        <w:pStyle w:val="Heading5"/>
      </w:pPr>
      <w:r>
        <w:t>City of Sumas</w:t>
      </w:r>
    </w:p>
    <w:p w:rsidR="002D52AD" w:rsidRDefault="00CC5464" w:rsidP="00215E0F">
      <w:pPr>
        <w:pStyle w:val="BodyText"/>
      </w:pPr>
      <w:r w:rsidRPr="00CC5464">
        <w:t xml:space="preserve">The </w:t>
      </w:r>
      <w:r w:rsidRPr="00CC5464">
        <w:rPr>
          <w:i/>
        </w:rPr>
        <w:t>City of Sumas Water System Comprehensive Plan</w:t>
      </w:r>
      <w:r w:rsidRPr="00CC5464">
        <w:t xml:space="preserve"> (2011 Revision) indicates that the City of Sumas maintains a water system consisting of two well fields with seven wells, booster pumps, a 500,000 gallon water reservoir (which is directly adjacent to, and tied into, a 500,000 gallon water association reservoir), and almost 18 miles of water lines (pp. 1-5 and 3-21). The City of Sumas sells water wholesale to the Sumas Rural Water Association, the Nooksack Valley Water Association, and the City of Nooksack (p. 1-15).  In addition, the</w:t>
      </w:r>
      <w:r>
        <w:t xml:space="preserve"> draft </w:t>
      </w:r>
      <w:r w:rsidRPr="00CC5464">
        <w:t>Capital Facilities Element of the Sumas Comprehens</w:t>
      </w:r>
      <w:r>
        <w:t>ive Plan (April 2016</w:t>
      </w:r>
      <w:r w:rsidRPr="00CC5464">
        <w:t>) indicates that, based on a 2015 water supply agreement, Sumas also sells water wholesale to the Meadowbrook Water Association</w:t>
      </w:r>
      <w:r w:rsidR="00A71508">
        <w:t xml:space="preserve"> (p. 4-5). As presented in the C</w:t>
      </w:r>
      <w:r w:rsidRPr="00CC5464">
        <w:t xml:space="preserve">ity’s water system plan, the projected average daily demand for the City of Sumas is 371,958 gallons per day in 2030 and the projected maximum daily demand is 743,916 gallons per day in 2030 (p. 3-24).  The City of Sumas’ water system has source capacity to meet the annual projected need over the 20-year planning period through the year 2030 (pp. 4-3 and 4-8). According to the Capital Facilities Element of the draft 2016 update of the Sumas Comprehensive Plan, in the year 2036 the total system demand, including the city and all wholesale customers, will equal 3,569 gallons per minute and 3,383 acre-feet per year. These flow rates are below the maximum volumes established in the city’s water rights, therefore the city will have sufficient </w:t>
      </w:r>
      <w:r w:rsidRPr="00CC5464">
        <w:lastRenderedPageBreak/>
        <w:t>source capacity to accommodate projected growth through 2036 (p. 4-6 and Table 4-2 on p. 4-7).  The draft Capital Facilities Element also indicates that, based on the configuration of the city wholesale distribution system and construction of an additional 500,000 gallon storage tank by the Sumas Rural Water Association, Sumas has sufficient storage capacity to support planned growth through 2036 (p. 4-7). The draft 2016 update of the Capital Facilities Element of the Sumas Comprehensive Plan includes a 20-year capital improvement program (2016-2036) that identifies over $900,000 in capital projects to be funded through a combination of monthly rates and charges, connection charges, and developer contracts (Table 4-3 on p. 4-8). The draft Capital Facilities Element also includes a six-year financial analysis (2016-2021) indicating that the city water system will have sufficient revenues to cover anticipated expenditures, including capital improvement costs, through 2021 (</w:t>
      </w:r>
      <w:r>
        <w:t>p. 4-25</w:t>
      </w:r>
      <w:r w:rsidRPr="00CC5464">
        <w:t xml:space="preserve">). The </w:t>
      </w:r>
      <w:r w:rsidR="001B3A0D" w:rsidRPr="00CC5464">
        <w:rPr>
          <w:i/>
        </w:rPr>
        <w:t>City of Sumas Water System Comprehensive Plan</w:t>
      </w:r>
      <w:r w:rsidRPr="00CC5464">
        <w:t xml:space="preserve"> “Service Are</w:t>
      </w:r>
      <w:r w:rsidR="00E97C8F">
        <w:t xml:space="preserve">a Policies and Conditions” </w:t>
      </w:r>
      <w:r w:rsidRPr="00CC5464">
        <w:t>require</w:t>
      </w:r>
      <w:r w:rsidR="00E97C8F">
        <w:t>s</w:t>
      </w:r>
      <w:r w:rsidRPr="00CC5464">
        <w:t xml:space="preserve"> that facilities necessitated by new development will be funded by the developer, except when the City requires oversizing (p. 1-14).</w:t>
      </w:r>
    </w:p>
    <w:p w:rsidR="00215E0F" w:rsidRDefault="00215E0F" w:rsidP="00215E0F">
      <w:pPr>
        <w:pStyle w:val="Heading5"/>
      </w:pPr>
      <w:r>
        <w:t>Columbia Valley Water District</w:t>
      </w:r>
    </w:p>
    <w:p w:rsidR="002D4C96" w:rsidRDefault="002D4C96" w:rsidP="00215E0F">
      <w:pPr>
        <w:pStyle w:val="BodyText"/>
      </w:pPr>
      <w:r w:rsidRPr="00F52355">
        <w:t xml:space="preserve">The </w:t>
      </w:r>
      <w:r w:rsidRPr="00F52355">
        <w:rPr>
          <w:i/>
        </w:rPr>
        <w:t>C</w:t>
      </w:r>
      <w:r>
        <w:rPr>
          <w:i/>
        </w:rPr>
        <w:t>olumbia Valley Water District 2013 Water System Plan Update</w:t>
      </w:r>
      <w:r>
        <w:t xml:space="preserve"> (2013) indicates</w:t>
      </w:r>
      <w:r w:rsidRPr="00F52355">
        <w:t xml:space="preserve"> that the </w:t>
      </w:r>
      <w:r>
        <w:t>Columbia Valley Water District</w:t>
      </w:r>
      <w:r w:rsidRPr="00F52355">
        <w:t xml:space="preserve"> maintains a </w:t>
      </w:r>
      <w:r>
        <w:t xml:space="preserve">water system consisting of three wells, booster pumps, four reservoirs with a total storage capacity of 762,000 gallons, and approximately 20 miles of </w:t>
      </w:r>
      <w:r w:rsidR="00C72529">
        <w:t xml:space="preserve">water lines (pp. 8, 9 and 11). </w:t>
      </w:r>
      <w:r w:rsidRPr="00F52355">
        <w:t xml:space="preserve">The </w:t>
      </w:r>
      <w:r w:rsidR="00C72529">
        <w:t>District has explored an emergency intertie with Water District 13 (p. 22</w:t>
      </w:r>
      <w:r>
        <w:t xml:space="preserve">). </w:t>
      </w:r>
      <w:r w:rsidR="00B23CE1">
        <w:t xml:space="preserve"> </w:t>
      </w:r>
      <w:r>
        <w:t>The projected average daily demand</w:t>
      </w:r>
      <w:r w:rsidR="002D52AD">
        <w:t xml:space="preserve"> for the water system is 279,450</w:t>
      </w:r>
      <w:r w:rsidR="00B23CE1">
        <w:t xml:space="preserve"> gallons per day in 2030</w:t>
      </w:r>
      <w:r>
        <w:t xml:space="preserve"> and the pro</w:t>
      </w:r>
      <w:r w:rsidR="00B23CE1">
        <w:t>jected</w:t>
      </w:r>
      <w:r w:rsidR="002D52AD">
        <w:t xml:space="preserve"> maximum daily demand is 536,600</w:t>
      </w:r>
      <w:r w:rsidR="00B23CE1">
        <w:t xml:space="preserve"> gallons per day in 2030</w:t>
      </w:r>
      <w:r>
        <w:t xml:space="preserve"> (p</w:t>
      </w:r>
      <w:r w:rsidR="002D52AD">
        <w:t>p. 45-47</w:t>
      </w:r>
      <w:r w:rsidR="00B23CE1">
        <w:t xml:space="preserve">).  </w:t>
      </w:r>
      <w:r>
        <w:t xml:space="preserve">The </w:t>
      </w:r>
      <w:r w:rsidR="00B23CE1">
        <w:t>District</w:t>
      </w:r>
      <w:r>
        <w:t xml:space="preserve"> has source capacity to meet the projected need over the 20-year planning period</w:t>
      </w:r>
      <w:r w:rsidR="00B23CE1">
        <w:t xml:space="preserve"> through the year 2030 (pp. 45-47</w:t>
      </w:r>
      <w:r>
        <w:t xml:space="preserve">). </w:t>
      </w:r>
      <w:r w:rsidRPr="00F52355">
        <w:t xml:space="preserve">The </w:t>
      </w:r>
      <w:r w:rsidR="00F04051" w:rsidRPr="00F04051">
        <w:rPr>
          <w:i/>
        </w:rPr>
        <w:t>Columbia Valley Water District 2013 Water System Plan Update</w:t>
      </w:r>
      <w:r w:rsidRPr="00F52355">
        <w:t xml:space="preserve"> contains a capital imp</w:t>
      </w:r>
      <w:r w:rsidR="002D52AD">
        <w:t>rovement program with almost $7.9</w:t>
      </w:r>
      <w:r w:rsidRPr="00F52355">
        <w:t xml:space="preserve"> million in capital projects </w:t>
      </w:r>
      <w:r w:rsidR="00F04051">
        <w:t>(2016 - 2022</w:t>
      </w:r>
      <w:r w:rsidRPr="00F52355">
        <w:t xml:space="preserve">).  These projects include </w:t>
      </w:r>
      <w:r>
        <w:t xml:space="preserve">water line improvements, </w:t>
      </w:r>
      <w:r w:rsidR="00F04051">
        <w:t>fire hydrant replacements</w:t>
      </w:r>
      <w:r>
        <w:t xml:space="preserve">, </w:t>
      </w:r>
      <w:r w:rsidR="00F04051">
        <w:t>pump replacements</w:t>
      </w:r>
      <w:r>
        <w:t xml:space="preserve">, and </w:t>
      </w:r>
      <w:r w:rsidR="00C07E20">
        <w:t>a potential intertie (Figure 8-2</w:t>
      </w:r>
      <w:r w:rsidRPr="00F52355">
        <w:t>).</w:t>
      </w:r>
      <w:r w:rsidR="002D52AD">
        <w:t xml:space="preserve">  Potential</w:t>
      </w:r>
      <w:r>
        <w:t xml:space="preserve"> revenue sources for system improvements include </w:t>
      </w:r>
      <w:r w:rsidR="00457310">
        <w:t xml:space="preserve">cash reserves, general facilities charges, water sales revenue, local facilities charges, developer participation, utility local improvement district financing, bond financing, </w:t>
      </w:r>
      <w:r>
        <w:t xml:space="preserve">grants, </w:t>
      </w:r>
      <w:r w:rsidR="002D52AD">
        <w:t>and loans (pp. 77-82</w:t>
      </w:r>
      <w:r>
        <w:t xml:space="preserve">). </w:t>
      </w:r>
    </w:p>
    <w:p w:rsidR="00215E0F" w:rsidRDefault="00215E0F" w:rsidP="00215E0F">
      <w:pPr>
        <w:pStyle w:val="Heading5"/>
      </w:pPr>
      <w:r>
        <w:t>PUD 1</w:t>
      </w:r>
    </w:p>
    <w:p w:rsidR="00215E0F" w:rsidRDefault="00215E0F" w:rsidP="00215E0F">
      <w:pPr>
        <w:pStyle w:val="BodyText"/>
      </w:pPr>
      <w:r>
        <w:t xml:space="preserve">PUD 1 provides water service to both the Grandview industrial/commercial service area north of Ferndale, as well the Cherry Point UGA (an industrial area). PUD 1’s </w:t>
      </w:r>
      <w:r w:rsidRPr="00E52305">
        <w:rPr>
          <w:i/>
        </w:rPr>
        <w:t>Comprehensive Water Plan</w:t>
      </w:r>
      <w:r w:rsidR="00E52305">
        <w:t xml:space="preserve"> (</w:t>
      </w:r>
      <w:r>
        <w:t>2004</w:t>
      </w:r>
      <w:r>
        <w:fldChar w:fldCharType="begin"/>
      </w:r>
      <w:r>
        <w:instrText xml:space="preserve"> TC "</w:instrText>
      </w:r>
      <w:bookmarkStart w:id="30" w:name="_Toc229288748"/>
      <w:r>
        <w:instrText>PUD 1’s Comprehensive Water Plan (October 2004, Donald E. Wright</w:instrText>
      </w:r>
      <w:bookmarkEnd w:id="30"/>
      <w:r>
        <w:instrText xml:space="preserve">" \f C \l "1" </w:instrText>
      </w:r>
      <w:r>
        <w:fldChar w:fldCharType="end"/>
      </w:r>
      <w:r>
        <w:t xml:space="preserve">) does not measure water demand in population as most other WSPs do. The majority of the district’s water service customers are industrial and commercial customers. The PUD’s </w:t>
      </w:r>
      <w:r w:rsidRPr="00E52305">
        <w:rPr>
          <w:i/>
        </w:rPr>
        <w:t>Comprehensive Water Plan</w:t>
      </w:r>
      <w:r>
        <w:t xml:space="preserve"> indicates that it has sufficient water supply to meet the district’s needs to the end of the district plan’s 20-year planning period (2024). The plan includes a series of capital improvements including the acquisition of other potable water system treatment plants and water distribution and storage improvements. Although the district’s plan does not include maps showing future water service extensions, portions of the narrative on future water service indicate the district’s future water service plans to serve its entire district.</w:t>
      </w:r>
    </w:p>
    <w:p w:rsidR="00215E0F" w:rsidRDefault="00215E0F" w:rsidP="00215E0F">
      <w:pPr>
        <w:pStyle w:val="Heading5"/>
      </w:pPr>
      <w:r>
        <w:lastRenderedPageBreak/>
        <w:t>Lake Whatcom Water and Se</w:t>
      </w:r>
      <w:r w:rsidR="00944704">
        <w:t>wer District</w:t>
      </w:r>
    </w:p>
    <w:p w:rsidR="006A5327" w:rsidRDefault="00621D0D" w:rsidP="00215E0F">
      <w:pPr>
        <w:pStyle w:val="BodyText"/>
      </w:pPr>
      <w:r w:rsidRPr="00F52355">
        <w:t xml:space="preserve">The </w:t>
      </w:r>
      <w:r>
        <w:t xml:space="preserve"> </w:t>
      </w:r>
      <w:r w:rsidR="00013788" w:rsidRPr="00621D0D">
        <w:rPr>
          <w:i/>
        </w:rPr>
        <w:t>Lake Whatcom Water and Sewer District Water System Comprehensive Plan</w:t>
      </w:r>
      <w:r w:rsidR="00013788">
        <w:t xml:space="preserve"> (2010</w:t>
      </w:r>
      <w:r>
        <w:t>) indicate</w:t>
      </w:r>
      <w:r w:rsidR="00013788">
        <w:t>s</w:t>
      </w:r>
      <w:r w:rsidRPr="00F52355">
        <w:t xml:space="preserve"> that the </w:t>
      </w:r>
      <w:r w:rsidR="00013788">
        <w:t xml:space="preserve">District </w:t>
      </w:r>
      <w:r w:rsidRPr="00F52355">
        <w:t xml:space="preserve">maintains a </w:t>
      </w:r>
      <w:r>
        <w:t>water system consisting of a</w:t>
      </w:r>
      <w:r w:rsidR="00013788">
        <w:t xml:space="preserve"> water intake system, water treatment plant,</w:t>
      </w:r>
      <w:r>
        <w:t xml:space="preserve"> boos</w:t>
      </w:r>
      <w:r w:rsidR="00013788">
        <w:t xml:space="preserve">ter pumps, </w:t>
      </w:r>
      <w:r>
        <w:t>water reservoirs</w:t>
      </w:r>
      <w:r w:rsidR="00013788">
        <w:t xml:space="preserve"> with a combined </w:t>
      </w:r>
      <w:r w:rsidR="00944704">
        <w:t>storage capacity of almost 2.56</w:t>
      </w:r>
      <w:r w:rsidR="00013788">
        <w:t xml:space="preserve"> million gallons</w:t>
      </w:r>
      <w:r>
        <w:t xml:space="preserve">, and </w:t>
      </w:r>
      <w:r w:rsidR="00013788">
        <w:t>approximately 67</w:t>
      </w:r>
      <w:r>
        <w:t xml:space="preserve"> miles of water lines (pp. </w:t>
      </w:r>
      <w:r w:rsidR="00013788">
        <w:t>8-10</w:t>
      </w:r>
      <w:r>
        <w:t xml:space="preserve">). </w:t>
      </w:r>
      <w:r w:rsidR="005928B2">
        <w:t>The District’s</w:t>
      </w:r>
      <w:r w:rsidRPr="00F52355">
        <w:t xml:space="preserve"> </w:t>
      </w:r>
      <w:r w:rsidR="006017DC">
        <w:t xml:space="preserve">water system </w:t>
      </w:r>
      <w:r w:rsidR="005928B2">
        <w:t xml:space="preserve">has </w:t>
      </w:r>
      <w:r>
        <w:t>intertie</w:t>
      </w:r>
      <w:r w:rsidR="005928B2">
        <w:t>s</w:t>
      </w:r>
      <w:r>
        <w:t xml:space="preserve"> with the City of </w:t>
      </w:r>
      <w:r w:rsidR="005928B2">
        <w:t>Bellingham</w:t>
      </w:r>
      <w:r w:rsidR="003B5525">
        <w:t xml:space="preserve"> water s</w:t>
      </w:r>
      <w:r>
        <w:t>ystem</w:t>
      </w:r>
      <w:r w:rsidR="005928B2">
        <w:t xml:space="preserve">, both for purchased water supply and for </w:t>
      </w:r>
      <w:r>
        <w:t xml:space="preserve">emergency </w:t>
      </w:r>
      <w:r w:rsidR="005928B2">
        <w:t>use (pp. 4</w:t>
      </w:r>
      <w:r>
        <w:t>7</w:t>
      </w:r>
      <w:r w:rsidR="005928B2">
        <w:t>-48</w:t>
      </w:r>
      <w:r>
        <w:t>). The projected average daily demand for the wat</w:t>
      </w:r>
      <w:r w:rsidR="00944704">
        <w:t>er system is 909,596</w:t>
      </w:r>
      <w:r w:rsidR="00E129E3">
        <w:t xml:space="preserve"> gallons per day in 2027</w:t>
      </w:r>
      <w:r>
        <w:t xml:space="preserve"> and the projected</w:t>
      </w:r>
      <w:r w:rsidR="00E129E3">
        <w:t xml:space="preserve"> m</w:t>
      </w:r>
      <w:r w:rsidR="00944704">
        <w:t>aximum daily demand is 1,617,880</w:t>
      </w:r>
      <w:r w:rsidR="00E129E3">
        <w:t xml:space="preserve"> gallons per day in 2027 (Appendix A, Exhibit 2).  The Lake Whatcom Water and Sewer District</w:t>
      </w:r>
      <w:r>
        <w:t xml:space="preserve"> water system has source cap</w:t>
      </w:r>
      <w:r w:rsidR="00E129E3">
        <w:t>acity to meet the projected demand through 2027 and for full build-out (Appendix A, Exhibit 2</w:t>
      </w:r>
      <w:r>
        <w:t xml:space="preserve">). </w:t>
      </w:r>
      <w:r w:rsidR="003010D9" w:rsidRPr="00F52355">
        <w:t xml:space="preserve">The </w:t>
      </w:r>
      <w:r w:rsidR="003010D9" w:rsidRPr="00621D0D">
        <w:rPr>
          <w:i/>
        </w:rPr>
        <w:t xml:space="preserve">Lake Whatcom Water and Sewer District </w:t>
      </w:r>
      <w:r w:rsidR="003010D9">
        <w:rPr>
          <w:i/>
        </w:rPr>
        <w:t xml:space="preserve">Comprehensive Sewer </w:t>
      </w:r>
      <w:r w:rsidR="003010D9" w:rsidRPr="00621D0D">
        <w:rPr>
          <w:i/>
        </w:rPr>
        <w:t>Plan</w:t>
      </w:r>
      <w:r w:rsidR="003010D9">
        <w:t xml:space="preserve"> (2014)</w:t>
      </w:r>
      <w:r w:rsidRPr="00F52355">
        <w:t xml:space="preserve"> contains a capital improvement program </w:t>
      </w:r>
      <w:r w:rsidR="003010D9">
        <w:t>for both sewer and water proje</w:t>
      </w:r>
      <w:r w:rsidR="00944704">
        <w:t>cts.  This plan contains over $2</w:t>
      </w:r>
      <w:r w:rsidR="003010D9">
        <w:t xml:space="preserve">.2 </w:t>
      </w:r>
      <w:r w:rsidRPr="00F52355">
        <w:t xml:space="preserve">million in </w:t>
      </w:r>
      <w:r w:rsidR="003010D9">
        <w:t xml:space="preserve">water system </w:t>
      </w:r>
      <w:r w:rsidRPr="00F52355">
        <w:t xml:space="preserve">capital projects </w:t>
      </w:r>
      <w:r w:rsidR="00944704">
        <w:t>(2016 - 201</w:t>
      </w:r>
      <w:r w:rsidR="003010D9">
        <w:t>9</w:t>
      </w:r>
      <w:r w:rsidRPr="00F52355">
        <w:t xml:space="preserve">).  These projects include </w:t>
      </w:r>
      <w:r w:rsidR="003010D9">
        <w:t>security</w:t>
      </w:r>
      <w:r w:rsidR="00944704">
        <w:t xml:space="preserve"> upgrades</w:t>
      </w:r>
      <w:r w:rsidR="003010D9">
        <w:t xml:space="preserve">, an overflow drain, water system rehabilitation and replacement projects, treatment plant improvements, water line replacements, </w:t>
      </w:r>
      <w:r w:rsidR="00944704">
        <w:t xml:space="preserve">and </w:t>
      </w:r>
      <w:r w:rsidR="003010D9">
        <w:t>reservoir maintenance (</w:t>
      </w:r>
      <w:r w:rsidR="003010D9" w:rsidRPr="006017DC">
        <w:rPr>
          <w:i/>
        </w:rPr>
        <w:t>Comprehensive Sewer Plan</w:t>
      </w:r>
      <w:r w:rsidR="003010D9">
        <w:t>, Exhibit K</w:t>
      </w:r>
      <w:r w:rsidRPr="00F52355">
        <w:t>).</w:t>
      </w:r>
      <w:r w:rsidR="00944704">
        <w:t xml:space="preserve">  Anticipated financing methods</w:t>
      </w:r>
      <w:r>
        <w:t xml:space="preserve"> for system im</w:t>
      </w:r>
      <w:r w:rsidR="003010D9">
        <w:t xml:space="preserve">provements include </w:t>
      </w:r>
      <w:r>
        <w:t>connection fees, water rates</w:t>
      </w:r>
      <w:r w:rsidR="003010D9">
        <w:t>, utili</w:t>
      </w:r>
      <w:r w:rsidR="00944704">
        <w:t xml:space="preserve">ty local improvement districts, </w:t>
      </w:r>
      <w:r w:rsidR="009501D5">
        <w:t>developer extension agreements</w:t>
      </w:r>
      <w:r w:rsidR="00944704">
        <w:t>, loans and bonds</w:t>
      </w:r>
      <w:r>
        <w:t xml:space="preserve"> (</w:t>
      </w:r>
      <w:r w:rsidR="009501D5" w:rsidRPr="006017DC">
        <w:rPr>
          <w:i/>
        </w:rPr>
        <w:t>Water System Comprehensive Plan</w:t>
      </w:r>
      <w:r w:rsidR="009501D5">
        <w:t>, p. 6</w:t>
      </w:r>
      <w:r w:rsidR="00196B98">
        <w:t xml:space="preserve">3). </w:t>
      </w:r>
    </w:p>
    <w:p w:rsidR="00215E0F" w:rsidRDefault="00215E0F" w:rsidP="00215E0F">
      <w:pPr>
        <w:pStyle w:val="Heading5"/>
      </w:pPr>
      <w:r>
        <w:t>Water District 2</w:t>
      </w:r>
    </w:p>
    <w:p w:rsidR="004E11F2" w:rsidRDefault="004E11F2" w:rsidP="00215E0F">
      <w:pPr>
        <w:pStyle w:val="BodyText"/>
      </w:pPr>
      <w:r w:rsidRPr="00F52355">
        <w:t xml:space="preserve">The </w:t>
      </w:r>
      <w:r>
        <w:rPr>
          <w:i/>
        </w:rPr>
        <w:t>Whatcom County Water District # 2 Water System Plan</w:t>
      </w:r>
      <w:r>
        <w:t xml:space="preserve"> (2009) indicates that the District obtains all its water from the City of Bellingham, through an inter</w:t>
      </w:r>
      <w:r w:rsidR="00161B62">
        <w:t xml:space="preserve">tie with the City (p. 1-2). </w:t>
      </w:r>
      <w:r>
        <w:t>Water District 2</w:t>
      </w:r>
      <w:r w:rsidRPr="00F52355">
        <w:t xml:space="preserve"> maintains a </w:t>
      </w:r>
      <w:r>
        <w:t>water system consisting of approximately 15 miles of water lines. The District does not have storage reservoirs or pumps, but relies on the City of Bellingham for storage and pressure</w:t>
      </w:r>
      <w:r w:rsidR="002207D1">
        <w:t xml:space="preserve"> (p. 1-2)</w:t>
      </w:r>
      <w:r>
        <w:t xml:space="preserve">. The projected average daily demand for the water system is approximately 163,325 gallons per day in 2029 (derived from the </w:t>
      </w:r>
      <w:r>
        <w:rPr>
          <w:i/>
        </w:rPr>
        <w:t>Water System Plan,</w:t>
      </w:r>
      <w:r>
        <w:t xml:space="preserve"> p. 2-10).  The District has a contract in place with the City of Bellingham that will provide adequate water to meet this demand over the planning period.</w:t>
      </w:r>
    </w:p>
    <w:p w:rsidR="00EE3BF0" w:rsidRDefault="00161B62" w:rsidP="00215E0F">
      <w:pPr>
        <w:pStyle w:val="BodyText"/>
      </w:pPr>
      <w:r>
        <w:t xml:space="preserve">The District’s Certified Operator stated, in an e-mail of May 9, 2016, that all of the District financed projects in the Water System Plan’s “Capital Improvement Schedule” have been completed (p. 8-2).  The most recent capital improvements included approximately 5,150 of old water main completed in 2014 financed by a loan from the Drinking Water State Revolving Fund and repaid from general revenue.  The Water System Plan is scheduled for update over the next couple of years during which time the capital improvement plan will be reviewed for the next 10 – 20 year period. </w:t>
      </w:r>
      <w:r w:rsidR="004E11F2">
        <w:t>R</w:t>
      </w:r>
      <w:r w:rsidR="004E11F2" w:rsidRPr="002B73B4">
        <w:t>evenue sources</w:t>
      </w:r>
      <w:r w:rsidR="006A476B">
        <w:t xml:space="preserve"> for future capital projects include</w:t>
      </w:r>
      <w:r w:rsidR="004E11F2" w:rsidRPr="002B73B4">
        <w:t xml:space="preserve"> water rate</w:t>
      </w:r>
      <w:r w:rsidR="006A476B">
        <w:t>s</w:t>
      </w:r>
      <w:r w:rsidR="004E11F2" w:rsidRPr="002B73B4">
        <w:t xml:space="preserve"> </w:t>
      </w:r>
      <w:r w:rsidR="006A476B">
        <w:t>and connection fees</w:t>
      </w:r>
      <w:r w:rsidR="004E11F2" w:rsidRPr="002B73B4">
        <w:t xml:space="preserve"> to repay lo</w:t>
      </w:r>
      <w:r w:rsidR="004E11F2">
        <w:t>ans</w:t>
      </w:r>
      <w:r w:rsidR="002207D1">
        <w:t xml:space="preserve"> (p. 9-1</w:t>
      </w:r>
      <w:r w:rsidR="006A476B">
        <w:t>)</w:t>
      </w:r>
      <w:r w:rsidR="004E11F2" w:rsidRPr="002B73B4">
        <w:t>.</w:t>
      </w:r>
    </w:p>
    <w:p w:rsidR="00EE3BF0" w:rsidRDefault="00EE3BF0" w:rsidP="00215E0F">
      <w:pPr>
        <w:pStyle w:val="BodyText"/>
      </w:pPr>
    </w:p>
    <w:p w:rsidR="000E281C" w:rsidRDefault="00215E0F" w:rsidP="00215E0F">
      <w:pPr>
        <w:pStyle w:val="BodyText"/>
      </w:pPr>
      <w:r>
        <w:t xml:space="preserve"> </w:t>
      </w:r>
    </w:p>
    <w:p w:rsidR="00215E0F" w:rsidRDefault="00215E0F" w:rsidP="00215E0F">
      <w:pPr>
        <w:pStyle w:val="Heading5"/>
      </w:pPr>
      <w:r>
        <w:lastRenderedPageBreak/>
        <w:t>Water District 7</w:t>
      </w:r>
    </w:p>
    <w:p w:rsidR="002B73B4" w:rsidRDefault="000E281C" w:rsidP="00215E0F">
      <w:pPr>
        <w:pStyle w:val="BodyText"/>
      </w:pPr>
      <w:r w:rsidRPr="00F52355">
        <w:t xml:space="preserve">The </w:t>
      </w:r>
      <w:r>
        <w:rPr>
          <w:i/>
        </w:rPr>
        <w:t>Whatcom County Water District # 7 Water System Plan</w:t>
      </w:r>
      <w:r>
        <w:t xml:space="preserve"> (2008) indicates that </w:t>
      </w:r>
      <w:r w:rsidR="002B73B4">
        <w:t>the</w:t>
      </w:r>
      <w:r>
        <w:t xml:space="preserve"> District obtains all its water from the City of Bellingham</w:t>
      </w:r>
      <w:r w:rsidR="00351E71">
        <w:t>, through an intertie with the City</w:t>
      </w:r>
      <w:r>
        <w:t xml:space="preserve"> (p. 1-3).  </w:t>
      </w:r>
      <w:r w:rsidR="002B73B4">
        <w:t>Water District 7</w:t>
      </w:r>
      <w:r w:rsidRPr="00F52355">
        <w:t xml:space="preserve"> maintains a </w:t>
      </w:r>
      <w:r>
        <w:t xml:space="preserve">water system consisting of booster pumps, water reservoirs </w:t>
      </w:r>
      <w:r w:rsidR="002B73B4">
        <w:t xml:space="preserve">with a capacity of </w:t>
      </w:r>
      <w:r w:rsidR="00FE631B">
        <w:t>485,000</w:t>
      </w:r>
      <w:r w:rsidR="002B73B4">
        <w:t xml:space="preserve"> gallons, and over 12</w:t>
      </w:r>
      <w:r w:rsidR="00FE631B">
        <w:t xml:space="preserve"> miles of water lines</w:t>
      </w:r>
      <w:r w:rsidR="002B73B4">
        <w:t xml:space="preserve">. </w:t>
      </w:r>
      <w:r>
        <w:t xml:space="preserve">The projected average daily demand for the water system is </w:t>
      </w:r>
      <w:r w:rsidR="003B4B4C">
        <w:t>approximately 190,000</w:t>
      </w:r>
      <w:r>
        <w:t xml:space="preserve"> g</w:t>
      </w:r>
      <w:r w:rsidR="002B73B4">
        <w:t>allons per day in 2027</w:t>
      </w:r>
      <w:r>
        <w:t xml:space="preserve"> (derived from</w:t>
      </w:r>
      <w:r w:rsidR="002B73B4">
        <w:t xml:space="preserve"> the</w:t>
      </w:r>
      <w:r>
        <w:t xml:space="preserve"> </w:t>
      </w:r>
      <w:r w:rsidR="002B73B4">
        <w:rPr>
          <w:i/>
        </w:rPr>
        <w:t>Water System Plan</w:t>
      </w:r>
      <w:r>
        <w:rPr>
          <w:i/>
        </w:rPr>
        <w:t>,</w:t>
      </w:r>
      <w:r w:rsidR="002B73B4">
        <w:t xml:space="preserve"> pp. 2-5 and 3-1</w:t>
      </w:r>
      <w:r>
        <w:t xml:space="preserve">).  </w:t>
      </w:r>
      <w:r w:rsidR="00C33B73">
        <w:t xml:space="preserve">Water District 7 is approved to serve up to 1,145 residential connections (p. 1-3), which is more than </w:t>
      </w:r>
      <w:r w:rsidR="003B4B4C">
        <w:t xml:space="preserve">the </w:t>
      </w:r>
      <w:r w:rsidR="00C33B73">
        <w:t xml:space="preserve">projected </w:t>
      </w:r>
      <w:r w:rsidR="003B4B4C">
        <w:t>number of dwelling units in the District in</w:t>
      </w:r>
      <w:r w:rsidR="00C33B73">
        <w:t xml:space="preserve"> the year 2036. </w:t>
      </w:r>
      <w:r>
        <w:t xml:space="preserve">The </w:t>
      </w:r>
      <w:r w:rsidR="002B73B4">
        <w:t xml:space="preserve">District’s Certified Operator stated, in e-mails of April </w:t>
      </w:r>
      <w:r w:rsidR="00FE631B">
        <w:t xml:space="preserve">10, </w:t>
      </w:r>
      <w:r w:rsidR="002B73B4">
        <w:t>12,</w:t>
      </w:r>
      <w:r w:rsidR="00FE631B">
        <w:t xml:space="preserve"> and 14</w:t>
      </w:r>
      <w:r w:rsidR="002B73B4">
        <w:t xml:space="preserve"> 2016, that </w:t>
      </w:r>
      <w:r w:rsidR="00FE631B" w:rsidRPr="00FE631B">
        <w:t xml:space="preserve">all of the </w:t>
      </w:r>
      <w:r w:rsidR="00FE631B">
        <w:t>“</w:t>
      </w:r>
      <w:r w:rsidR="00FE631B" w:rsidRPr="00FE631B">
        <w:t>Recommended 6 Year Capital Improvements</w:t>
      </w:r>
      <w:r w:rsidR="00FE631B">
        <w:t>”</w:t>
      </w:r>
      <w:r w:rsidR="00FE631B" w:rsidRPr="00FE631B">
        <w:t xml:space="preserve"> identified in the 2008 Water System Plan have been completed as of 2015.  The </w:t>
      </w:r>
      <w:r w:rsidR="00FE631B">
        <w:t>“</w:t>
      </w:r>
      <w:r w:rsidR="00FE631B" w:rsidRPr="00FE631B">
        <w:t>Recommended 20 Year Capital Improvements</w:t>
      </w:r>
      <w:r w:rsidR="00FE631B">
        <w:t>”</w:t>
      </w:r>
      <w:r w:rsidR="00FE631B" w:rsidRPr="00FE631B">
        <w:t xml:space="preserve"> identified in the</w:t>
      </w:r>
      <w:r w:rsidR="00FE631B">
        <w:t xml:space="preserve"> 2008 Water System Plan focus on </w:t>
      </w:r>
      <w:r w:rsidR="002B73B4" w:rsidRPr="002B73B4">
        <w:t>replacement of existing water mains with similar size pipe</w:t>
      </w:r>
      <w:r w:rsidR="002C1303">
        <w:t>, at a total cost of approximately $750,000 (p. 8-4)</w:t>
      </w:r>
      <w:r w:rsidR="002B73B4">
        <w:t xml:space="preserve">. </w:t>
      </w:r>
      <w:r w:rsidR="002C1303">
        <w:t xml:space="preserve"> R</w:t>
      </w:r>
      <w:r w:rsidR="002B73B4" w:rsidRPr="002B73B4">
        <w:t>evenue sources will be water rate increases as necessary to repay lo</w:t>
      </w:r>
      <w:r w:rsidR="00100C3E">
        <w:t xml:space="preserve">ans </w:t>
      </w:r>
      <w:r w:rsidR="00FE631B">
        <w:t xml:space="preserve">likely </w:t>
      </w:r>
      <w:r w:rsidR="00100C3E">
        <w:t>from the United States Department of Agriculture, Drinking Water State Revolving Fund</w:t>
      </w:r>
      <w:r w:rsidR="002B73B4" w:rsidRPr="002B73B4">
        <w:t>, or Public Works Trust Fund.</w:t>
      </w:r>
    </w:p>
    <w:p w:rsidR="000E5951" w:rsidRDefault="000E5951" w:rsidP="000E5951">
      <w:pPr>
        <w:pStyle w:val="Heading5"/>
      </w:pPr>
      <w:r>
        <w:t>Water District 13</w:t>
      </w:r>
    </w:p>
    <w:p w:rsidR="000E5951" w:rsidRDefault="000E5951" w:rsidP="000E5951">
      <w:pPr>
        <w:pStyle w:val="BodyText"/>
      </w:pPr>
      <w:r w:rsidRPr="000E5951">
        <w:t xml:space="preserve">The </w:t>
      </w:r>
      <w:r>
        <w:rPr>
          <w:i/>
        </w:rPr>
        <w:t xml:space="preserve">Whatcom County </w:t>
      </w:r>
      <w:r w:rsidRPr="000E5951">
        <w:rPr>
          <w:i/>
        </w:rPr>
        <w:t xml:space="preserve">Water District </w:t>
      </w:r>
      <w:r>
        <w:rPr>
          <w:i/>
        </w:rPr>
        <w:t xml:space="preserve"># 13 Small Water System </w:t>
      </w:r>
      <w:r w:rsidRPr="000E5951">
        <w:rPr>
          <w:i/>
        </w:rPr>
        <w:t>Plan</w:t>
      </w:r>
      <w:r>
        <w:t xml:space="preserve"> (2012</w:t>
      </w:r>
      <w:r w:rsidRPr="000E5951">
        <w:t>) indicates t</w:t>
      </w:r>
      <w:r>
        <w:t>hat Water District # 13</w:t>
      </w:r>
      <w:r w:rsidRPr="000E5951">
        <w:t xml:space="preserve"> maintains a </w:t>
      </w:r>
      <w:r>
        <w:t>water system consisting of two wells, two</w:t>
      </w:r>
      <w:r w:rsidRPr="000E5951">
        <w:t xml:space="preserve"> reservoirs with</w:t>
      </w:r>
      <w:r>
        <w:t xml:space="preserve"> a total storage capacity of 300</w:t>
      </w:r>
      <w:r w:rsidRPr="000E5951">
        <w:t>,000 gallon</w:t>
      </w:r>
      <w:r>
        <w:t>s, and associated</w:t>
      </w:r>
      <w:r w:rsidRPr="000E5951">
        <w:t xml:space="preserve"> </w:t>
      </w:r>
      <w:r>
        <w:t>water lines (pp. 26-27</w:t>
      </w:r>
      <w:r w:rsidRPr="000E5951">
        <w:t xml:space="preserve">). </w:t>
      </w:r>
      <w:r>
        <w:t xml:space="preserve"> </w:t>
      </w:r>
      <w:r w:rsidRPr="000E5951">
        <w:t xml:space="preserve">The projected average daily demand for the water system is </w:t>
      </w:r>
      <w:r>
        <w:t>almost 127,000</w:t>
      </w:r>
      <w:r w:rsidRPr="000E5951">
        <w:t xml:space="preserve"> gallons per day in 203</w:t>
      </w:r>
      <w:r>
        <w:t>1</w:t>
      </w:r>
      <w:r w:rsidRPr="000E5951">
        <w:t xml:space="preserve"> and the projected maximum daily demand is </w:t>
      </w:r>
      <w:r>
        <w:t>estimated at over 253,000</w:t>
      </w:r>
      <w:r w:rsidRPr="000E5951">
        <w:t xml:space="preserve"> gallons per day in 203</w:t>
      </w:r>
      <w:r>
        <w:t>1</w:t>
      </w:r>
      <w:r w:rsidRPr="000E5951">
        <w:t xml:space="preserve"> (pp. </w:t>
      </w:r>
      <w:r>
        <w:t>15</w:t>
      </w:r>
      <w:r w:rsidRPr="000E5951">
        <w:t>).  The District has source capacity to meet the projected need over the 20-year planning period</w:t>
      </w:r>
      <w:r w:rsidR="001F33D6">
        <w:t xml:space="preserve"> through the year 2031 (p. </w:t>
      </w:r>
      <w:r>
        <w:t>32</w:t>
      </w:r>
      <w:r w:rsidR="001F33D6">
        <w:t xml:space="preserve">). </w:t>
      </w:r>
      <w:r w:rsidRPr="000E5951">
        <w:t xml:space="preserve">The </w:t>
      </w:r>
      <w:r w:rsidRPr="000E5951">
        <w:rPr>
          <w:i/>
        </w:rPr>
        <w:t>Whatcom County Water District # 13 Small Water System Plan</w:t>
      </w:r>
      <w:r w:rsidRPr="000E5951">
        <w:t xml:space="preserve"> contains a capital improvement program with approximately $</w:t>
      </w:r>
      <w:r w:rsidR="00D7044A">
        <w:t>353,000 in capital projects</w:t>
      </w:r>
      <w:r w:rsidRPr="000E5951">
        <w:t xml:space="preserve">.  These projects include </w:t>
      </w:r>
      <w:r w:rsidR="00D7044A">
        <w:t xml:space="preserve">backup power at well sites, storage tank piping modifications, replacing/adding valves, and </w:t>
      </w:r>
      <w:r w:rsidRPr="000E5951">
        <w:t>water line improvements (</w:t>
      </w:r>
      <w:r w:rsidR="00D7044A">
        <w:t>p. 31</w:t>
      </w:r>
      <w:r w:rsidRPr="000E5951">
        <w:t xml:space="preserve">).  </w:t>
      </w:r>
    </w:p>
    <w:p w:rsidR="00196B98" w:rsidRDefault="00196B98" w:rsidP="00D0286C"/>
    <w:p w:rsidR="00E41F46" w:rsidRDefault="00E41F46" w:rsidP="00D0286C"/>
    <w:p w:rsidR="002D69E9" w:rsidRDefault="002D69E9" w:rsidP="00D0286C"/>
    <w:p w:rsidR="002D69E9" w:rsidRDefault="002D69E9" w:rsidP="00D0286C"/>
    <w:p w:rsidR="002D69E9" w:rsidRDefault="002D69E9" w:rsidP="00D0286C"/>
    <w:p w:rsidR="002D69E9" w:rsidRDefault="002D69E9" w:rsidP="00D0286C"/>
    <w:p w:rsidR="002D69E9" w:rsidRDefault="002D69E9" w:rsidP="00D0286C"/>
    <w:p w:rsidR="002D69E9" w:rsidRDefault="002D69E9" w:rsidP="00D0286C"/>
    <w:p w:rsidR="002D69E9" w:rsidRDefault="002D69E9" w:rsidP="00D0286C"/>
    <w:p w:rsidR="002D69E9" w:rsidRPr="00D0286C" w:rsidRDefault="002D69E9" w:rsidP="00D0286C"/>
    <w:p w:rsidR="009343E4" w:rsidRDefault="009343E4" w:rsidP="009343E4">
      <w:pPr>
        <w:pStyle w:val="TOAHeading"/>
      </w:pPr>
      <w:r>
        <w:lastRenderedPageBreak/>
        <w:t>Chapter 12 – Sewer Systems</w:t>
      </w:r>
    </w:p>
    <w:p w:rsidR="00215E0F" w:rsidRDefault="00215E0F" w:rsidP="00215E0F">
      <w:pPr>
        <w:pStyle w:val="Heading2"/>
      </w:pPr>
      <w:bookmarkStart w:id="31" w:name="_Toc245621844"/>
      <w:r w:rsidRPr="002D2CD5">
        <w:t>Sanitary Sewer</w:t>
      </w:r>
      <w:bookmarkEnd w:id="31"/>
    </w:p>
    <w:p w:rsidR="00215E0F" w:rsidRDefault="00215E0F" w:rsidP="00215E0F">
      <w:pPr>
        <w:pStyle w:val="BodyText"/>
      </w:pPr>
      <w:r>
        <w:t xml:space="preserve">There are a total of 10 wastewater collection systems and seven wastewater treatment </w:t>
      </w:r>
      <w:r w:rsidR="005718E8">
        <w:t xml:space="preserve">plant (WWTP) </w:t>
      </w:r>
      <w:r>
        <w:t>facilities that serve UGAs in Whatcom County. Most of the facilities provide services within city limits with plans for future service to areas designated as UGAs. However, some systems provide service to unincorporated UGAs (Birc</w:t>
      </w:r>
      <w:r w:rsidR="004F3375">
        <w:t>h Bay Water &amp; Sewer District and Water District 13</w:t>
      </w:r>
      <w:r>
        <w:t>).</w:t>
      </w:r>
    </w:p>
    <w:p w:rsidR="00215E0F" w:rsidRDefault="00215E0F" w:rsidP="00215E0F">
      <w:pPr>
        <w:pStyle w:val="Heading3"/>
      </w:pPr>
      <w:bookmarkStart w:id="32" w:name="_Toc245621846"/>
      <w:r>
        <w:t>Inventory of Current Facilities</w:t>
      </w:r>
      <w:bookmarkEnd w:id="32"/>
    </w:p>
    <w:p w:rsidR="00215E0F" w:rsidRDefault="00215E0F" w:rsidP="00215E0F">
      <w:pPr>
        <w:pStyle w:val="BodyText"/>
      </w:pPr>
      <w:r>
        <w:t>The following cities and sewer districts (in alphabetical order) provide sanitary sewe</w:t>
      </w:r>
      <w:r w:rsidR="004F3375">
        <w:t>r service to UGAs</w:t>
      </w:r>
      <w:r>
        <w:t xml:space="preserve"> in the County:</w:t>
      </w:r>
    </w:p>
    <w:p w:rsidR="00215E0F" w:rsidRDefault="00215E0F" w:rsidP="00215E0F">
      <w:pPr>
        <w:pStyle w:val="ListBullet"/>
      </w:pPr>
      <w:bookmarkStart w:id="33" w:name="OLE_LINK8"/>
      <w:bookmarkStart w:id="34" w:name="OLE_LINK9"/>
      <w:r>
        <w:rPr>
          <w:rStyle w:val="Emphasis"/>
        </w:rPr>
        <w:t>City of Bellingham</w:t>
      </w:r>
      <w:r>
        <w:t xml:space="preserve"> maintains a </w:t>
      </w:r>
      <w:r w:rsidR="00B72A0F">
        <w:t xml:space="preserve">wastewater </w:t>
      </w:r>
      <w:r>
        <w:t>collection system within its city limits</w:t>
      </w:r>
      <w:r w:rsidR="00640DAD">
        <w:t xml:space="preserve"> and sewer service zones within the UGA.  The City o</w:t>
      </w:r>
      <w:r>
        <w:t>perates</w:t>
      </w:r>
      <w:r w:rsidR="00640DAD">
        <w:t xml:space="preserve"> a wastewater treatment plant that is also </w:t>
      </w:r>
      <w:r>
        <w:t>used by Lake Whatcom Water and Sewer District. The city plans future service within its UGA.</w:t>
      </w:r>
    </w:p>
    <w:p w:rsidR="00215E0F" w:rsidRDefault="00215E0F" w:rsidP="00215E0F">
      <w:pPr>
        <w:pStyle w:val="ListBullet"/>
      </w:pPr>
      <w:r>
        <w:rPr>
          <w:rStyle w:val="Emphasis"/>
        </w:rPr>
        <w:t>Birch Bay Water &amp; Sewer District</w:t>
      </w:r>
      <w:r>
        <w:t xml:space="preserve"> owns and operates a </w:t>
      </w:r>
      <w:r w:rsidR="00243DA2">
        <w:t xml:space="preserve">wastewater </w:t>
      </w:r>
      <w:r>
        <w:t>collection and treatment system th</w:t>
      </w:r>
      <w:r w:rsidR="00E41F46">
        <w:t>at serves the Birch Bay UGA, a portion Cherry Point UGA, and a parcel within the Blaine UGA</w:t>
      </w:r>
      <w:r>
        <w:t>.</w:t>
      </w:r>
    </w:p>
    <w:p w:rsidR="00215E0F" w:rsidRDefault="00215E0F" w:rsidP="00215E0F">
      <w:pPr>
        <w:pStyle w:val="ListBullet"/>
      </w:pPr>
      <w:r>
        <w:rPr>
          <w:rStyle w:val="Emphasis"/>
        </w:rPr>
        <w:t>City of Blaine</w:t>
      </w:r>
      <w:r>
        <w:t xml:space="preserve"> </w:t>
      </w:r>
      <w:r w:rsidR="00F47A98" w:rsidRPr="00001746">
        <w:t>provides a collection and a wastewater treatment system for property within the city limits.  The City also provides contract service to the Harbor Shores Sewer Association in the City’s southern UGA area. Blaine’s wastewater treatment is handled by the Lighthouse Point Water Reclamation Facility, constructed in 2010.  The facility, which generates Class A reclaimed water, was a full replacement of the City’s prior treatment plant. The city plans future sewer service to areas within its UGA, and has adequate expansion capacity in the Lighthouse Point facility.</w:t>
      </w:r>
    </w:p>
    <w:p w:rsidR="00215E0F" w:rsidRDefault="00215E0F" w:rsidP="00215E0F">
      <w:pPr>
        <w:pStyle w:val="ListBullet"/>
      </w:pPr>
      <w:r>
        <w:t xml:space="preserve">The </w:t>
      </w:r>
      <w:r>
        <w:rPr>
          <w:rStyle w:val="Emphasis"/>
        </w:rPr>
        <w:t>City of Everson</w:t>
      </w:r>
      <w:r>
        <w:t xml:space="preserve"> maintains a collection system to serve property within the city limits. The city’s sewer system also provides wastewater treatment for the City of Nooksack. Both cities provide funding for operation and maintenance of the treatment </w:t>
      </w:r>
      <w:r w:rsidR="005718E8">
        <w:t>facility. The city</w:t>
      </w:r>
      <w:r>
        <w:t xml:space="preserve"> plans future </w:t>
      </w:r>
      <w:r w:rsidR="005718E8">
        <w:t xml:space="preserve">sewer </w:t>
      </w:r>
      <w:r>
        <w:t>service to areas within its UGA.</w:t>
      </w:r>
    </w:p>
    <w:p w:rsidR="00215E0F" w:rsidRDefault="00215E0F" w:rsidP="00215E0F">
      <w:pPr>
        <w:pStyle w:val="ListBullet"/>
      </w:pPr>
      <w:r>
        <w:t xml:space="preserve">The </w:t>
      </w:r>
      <w:r>
        <w:rPr>
          <w:rStyle w:val="Emphasis"/>
        </w:rPr>
        <w:t>City of Ferndale</w:t>
      </w:r>
      <w:r>
        <w:t xml:space="preserve"> </w:t>
      </w:r>
      <w:r w:rsidR="00F442D9">
        <w:t>provides sewer collection and treatment facilities for property within the city limits and plans future collection and treatment to the city’s UGA.  The City also serves two areas outside the UGA, east of the City, but has no plans to expand service in these areas.</w:t>
      </w:r>
    </w:p>
    <w:p w:rsidR="00215E0F" w:rsidRDefault="00215E0F" w:rsidP="00215E0F">
      <w:pPr>
        <w:pStyle w:val="ListBullet"/>
      </w:pPr>
      <w:r>
        <w:rPr>
          <w:rStyle w:val="Emphasis"/>
        </w:rPr>
        <w:t>Lake Wh</w:t>
      </w:r>
      <w:r w:rsidR="00F91CFC">
        <w:rPr>
          <w:rStyle w:val="Emphasis"/>
        </w:rPr>
        <w:t xml:space="preserve">atcom Water &amp; Sewer District </w:t>
      </w:r>
      <w:r>
        <w:t>maintains a sanitary sewer collection system that serves the</w:t>
      </w:r>
      <w:r w:rsidR="00F91CFC">
        <w:t xml:space="preserve"> Geneva</w:t>
      </w:r>
      <w:r w:rsidR="00A826BC">
        <w:t xml:space="preserve"> UGA</w:t>
      </w:r>
      <w:r>
        <w:t xml:space="preserve">, east </w:t>
      </w:r>
      <w:r w:rsidR="005718E8">
        <w:t>of the city limits</w:t>
      </w:r>
      <w:r w:rsidR="004774A8">
        <w:t>,</w:t>
      </w:r>
      <w:r w:rsidR="005718E8">
        <w:t xml:space="preserve"> and other areas around Lake Whatcom. The</w:t>
      </w:r>
      <w:r>
        <w:t xml:space="preserve"> district relies upon the City of Bellingham wastewater system for treatment.</w:t>
      </w:r>
    </w:p>
    <w:p w:rsidR="00215E0F" w:rsidRDefault="00215E0F" w:rsidP="00215E0F">
      <w:pPr>
        <w:pStyle w:val="ListBullet"/>
      </w:pPr>
      <w:r>
        <w:t xml:space="preserve">The </w:t>
      </w:r>
      <w:r>
        <w:rPr>
          <w:rStyle w:val="Emphasis"/>
        </w:rPr>
        <w:t>City of Lynden</w:t>
      </w:r>
      <w:r>
        <w:t xml:space="preserve"> provides sewer collection and treatment facilities for property within the city limits and </w:t>
      </w:r>
      <w:r w:rsidR="005718E8">
        <w:t xml:space="preserve">plans </w:t>
      </w:r>
      <w:r>
        <w:t>future collection and treatment to the city’s UGA</w:t>
      </w:r>
      <w:r w:rsidR="00C41BF4" w:rsidRPr="001319D7">
        <w:t xml:space="preserve"> upon annexation.</w:t>
      </w:r>
      <w:r w:rsidR="00C41BF4" w:rsidRPr="008E169C">
        <w:t xml:space="preserve"> The City also operates permitted </w:t>
      </w:r>
      <w:r w:rsidR="00C41BF4" w:rsidRPr="001319D7">
        <w:t>composting facilities for beneficial use of biosolids</w:t>
      </w:r>
      <w:r>
        <w:t>.</w:t>
      </w:r>
    </w:p>
    <w:p w:rsidR="00215E0F" w:rsidRDefault="00215E0F" w:rsidP="00215E0F">
      <w:pPr>
        <w:pStyle w:val="ListBullet"/>
      </w:pPr>
      <w:r>
        <w:rPr>
          <w:rStyle w:val="Emphasis"/>
        </w:rPr>
        <w:t>City of Nooksack</w:t>
      </w:r>
      <w:r>
        <w:t xml:space="preserve"> constructed a wastewater collection system for propert</w:t>
      </w:r>
      <w:r w:rsidR="004F3375">
        <w:t>y within the city limits in 1987</w:t>
      </w:r>
      <w:r>
        <w:t xml:space="preserve">. The city has plans to provide future service to unserved properties within its city limits </w:t>
      </w:r>
      <w:r>
        <w:lastRenderedPageBreak/>
        <w:t xml:space="preserve">and to properties within its associated UGA. By agreement with the City of Everson, Nooksack pumps its sewage for treatment at the </w:t>
      </w:r>
      <w:r w:rsidR="005718E8">
        <w:t>Everson Wastewater Treatment P</w:t>
      </w:r>
      <w:r w:rsidR="00C54419">
        <w:t>lant</w:t>
      </w:r>
      <w:r>
        <w:t xml:space="preserve">. Nooksack also provides funding for the operation </w:t>
      </w:r>
      <w:r w:rsidR="00C54419">
        <w:t>and maintenance of the Everson W</w:t>
      </w:r>
      <w:r>
        <w:t>ast</w:t>
      </w:r>
      <w:r w:rsidR="00C54419">
        <w:t>ewater Treatment P</w:t>
      </w:r>
      <w:r>
        <w:t>lant.</w:t>
      </w:r>
    </w:p>
    <w:p w:rsidR="00215E0F" w:rsidRDefault="00215E0F" w:rsidP="00215E0F">
      <w:pPr>
        <w:pStyle w:val="ListBullet"/>
      </w:pPr>
      <w:r>
        <w:t xml:space="preserve">The </w:t>
      </w:r>
      <w:r>
        <w:rPr>
          <w:rStyle w:val="Emphasis"/>
        </w:rPr>
        <w:t>City of Sumas</w:t>
      </w:r>
      <w:r>
        <w:rPr>
          <w:b/>
        </w:rPr>
        <w:t xml:space="preserve"> </w:t>
      </w:r>
      <w:r>
        <w:t xml:space="preserve">provides a wastewater collection system for property within the city limits. Since 1999, the city has had wastewater treatment provided at a large regional treatment facility in Abbotsford, BC owned and operated by Fraser Valley Regional District. The </w:t>
      </w:r>
      <w:r w:rsidR="00C54419">
        <w:t xml:space="preserve">city </w:t>
      </w:r>
      <w:r>
        <w:t xml:space="preserve">plans to extend </w:t>
      </w:r>
      <w:r w:rsidR="00C54419">
        <w:t xml:space="preserve">sewer </w:t>
      </w:r>
      <w:r>
        <w:t>service to UGA property upon annexation.</w:t>
      </w:r>
    </w:p>
    <w:p w:rsidR="00215E0F" w:rsidRDefault="00215E0F" w:rsidP="00215E0F">
      <w:pPr>
        <w:pStyle w:val="ListBullet"/>
      </w:pPr>
      <w:r>
        <w:rPr>
          <w:rStyle w:val="Emphasis"/>
        </w:rPr>
        <w:t>Whatcom County Water District 13</w:t>
      </w:r>
      <w:r>
        <w:t xml:space="preserve"> provides wastewater collection and treatment to a portion of the Columbia Valley UGA in unincorporated Whatcom County.</w:t>
      </w:r>
    </w:p>
    <w:bookmarkEnd w:id="33"/>
    <w:bookmarkEnd w:id="34"/>
    <w:p w:rsidR="00215E0F" w:rsidRDefault="00215E0F" w:rsidP="00215E0F">
      <w:pPr>
        <w:pStyle w:val="BodyText"/>
      </w:pPr>
      <w:r>
        <w:t>An inventory of existing wastewater facilities located in the County is presented in the table on the following pages. The tab</w:t>
      </w:r>
      <w:r w:rsidR="004774A8">
        <w:t xml:space="preserve">le summarizes wastewater volume </w:t>
      </w:r>
      <w:r>
        <w:t xml:space="preserve">treated per day, </w:t>
      </w:r>
      <w:r w:rsidR="004774A8">
        <w:t>total</w:t>
      </w:r>
      <w:r w:rsidR="00C54419">
        <w:t xml:space="preserve"> treatment capacity</w:t>
      </w:r>
      <w:r>
        <w:t>, and su</w:t>
      </w:r>
      <w:r w:rsidR="00C54419">
        <w:t xml:space="preserve">rpluses or deficits for </w:t>
      </w:r>
      <w:r>
        <w:t xml:space="preserve">the </w:t>
      </w:r>
      <w:r w:rsidR="00C54419">
        <w:t>wastewater treatment systems</w:t>
      </w:r>
      <w:r w:rsidR="004774A8">
        <w:t xml:space="preserve"> expressed in million gallons per day (mgd)</w:t>
      </w:r>
      <w:r w:rsidR="004B4436">
        <w:t xml:space="preserve">. Existing population </w:t>
      </w:r>
      <w:r>
        <w:t>is also noted.</w:t>
      </w:r>
    </w:p>
    <w:p w:rsidR="00C5689C" w:rsidRDefault="00C5689C" w:rsidP="00A008D6">
      <w:pPr>
        <w:spacing w:before="0" w:after="0"/>
      </w:pPr>
      <w:r>
        <w:br w:type="page"/>
      </w:r>
    </w:p>
    <w:p w:rsidR="00215E0F" w:rsidRDefault="0016410F" w:rsidP="00215E0F">
      <w:pPr>
        <w:pStyle w:val="BodyText"/>
      </w:pPr>
      <w:r>
        <w:rPr>
          <w:rFonts w:ascii="Arial Narrow" w:hAnsi="Arial Narrow"/>
          <w:b/>
          <w:color w:val="002060"/>
          <w:sz w:val="24"/>
        </w:rPr>
        <w:lastRenderedPageBreak/>
        <w:t xml:space="preserve">Table 12.1  </w:t>
      </w:r>
      <w:r w:rsidRPr="005A4F74">
        <w:rPr>
          <w:rFonts w:ascii="Arial Narrow" w:hAnsi="Arial Narrow"/>
          <w:b/>
          <w:color w:val="002060"/>
          <w:sz w:val="24"/>
        </w:rPr>
        <w:t>W</w:t>
      </w:r>
      <w:r>
        <w:rPr>
          <w:rFonts w:ascii="Arial Narrow" w:hAnsi="Arial Narrow"/>
          <w:b/>
          <w:color w:val="002060"/>
          <w:sz w:val="24"/>
        </w:rPr>
        <w:t>astewater System Inventory</w:t>
      </w:r>
      <w:r>
        <w:rPr>
          <w:sz w:val="14"/>
          <w:szCs w:val="14"/>
          <w:vertAlign w:val="superscript"/>
        </w:rPr>
        <w:t>1</w:t>
      </w:r>
    </w:p>
    <w:tbl>
      <w:tblPr>
        <w:tblW w:w="11250" w:type="dxa"/>
        <w:tblInd w:w="-972" w:type="dxa"/>
        <w:tblLayout w:type="fixed"/>
        <w:tblLook w:val="04A0" w:firstRow="1" w:lastRow="0" w:firstColumn="1" w:lastColumn="0" w:noHBand="0" w:noVBand="1"/>
      </w:tblPr>
      <w:tblGrid>
        <w:gridCol w:w="810"/>
        <w:gridCol w:w="1440"/>
        <w:gridCol w:w="540"/>
        <w:gridCol w:w="2250"/>
        <w:gridCol w:w="270"/>
        <w:gridCol w:w="900"/>
        <w:gridCol w:w="810"/>
        <w:gridCol w:w="720"/>
        <w:gridCol w:w="360"/>
        <w:gridCol w:w="900"/>
        <w:gridCol w:w="270"/>
        <w:gridCol w:w="1980"/>
      </w:tblGrid>
      <w:tr w:rsidR="004774A8" w:rsidRPr="007C08E9" w:rsidTr="00886241">
        <w:trPr>
          <w:tblHeader/>
        </w:trPr>
        <w:tc>
          <w:tcPr>
            <w:tcW w:w="810" w:type="dxa"/>
            <w:vMerge w:val="restart"/>
            <w:tcBorders>
              <w:top w:val="single" w:sz="12" w:space="0" w:color="auto"/>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Year of Plan</w:t>
            </w:r>
          </w:p>
        </w:tc>
        <w:tc>
          <w:tcPr>
            <w:tcW w:w="1440" w:type="dxa"/>
            <w:vMerge w:val="restart"/>
            <w:tcBorders>
              <w:top w:val="single" w:sz="12" w:space="0" w:color="auto"/>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Service Provider</w:t>
            </w:r>
          </w:p>
        </w:tc>
        <w:tc>
          <w:tcPr>
            <w:tcW w:w="540" w:type="dxa"/>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 </w:t>
            </w:r>
          </w:p>
        </w:tc>
        <w:tc>
          <w:tcPr>
            <w:tcW w:w="2250" w:type="dxa"/>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Collection System</w:t>
            </w:r>
          </w:p>
        </w:tc>
        <w:tc>
          <w:tcPr>
            <w:tcW w:w="270" w:type="dxa"/>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 </w:t>
            </w:r>
          </w:p>
        </w:tc>
        <w:tc>
          <w:tcPr>
            <w:tcW w:w="2430" w:type="dxa"/>
            <w:gridSpan w:val="3"/>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Treatment</w:t>
            </w:r>
          </w:p>
        </w:tc>
        <w:tc>
          <w:tcPr>
            <w:tcW w:w="360" w:type="dxa"/>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 </w:t>
            </w:r>
          </w:p>
        </w:tc>
        <w:tc>
          <w:tcPr>
            <w:tcW w:w="1170" w:type="dxa"/>
            <w:gridSpan w:val="2"/>
            <w:tcBorders>
              <w:top w:val="single" w:sz="12" w:space="0" w:color="auto"/>
              <w:left w:val="nil"/>
              <w:bottom w:val="nil"/>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Service Area</w:t>
            </w:r>
          </w:p>
        </w:tc>
        <w:tc>
          <w:tcPr>
            <w:tcW w:w="1980" w:type="dxa"/>
            <w:vMerge w:val="restart"/>
            <w:tcBorders>
              <w:top w:val="single" w:sz="12" w:space="0" w:color="auto"/>
              <w:left w:val="nil"/>
              <w:bottom w:val="single" w:sz="4" w:space="0" w:color="000000"/>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Notes</w:t>
            </w:r>
          </w:p>
        </w:tc>
      </w:tr>
      <w:tr w:rsidR="004774A8" w:rsidRPr="007C08E9" w:rsidTr="00886241">
        <w:trPr>
          <w:tblHeader/>
        </w:trPr>
        <w:tc>
          <w:tcPr>
            <w:tcW w:w="810" w:type="dxa"/>
            <w:vMerge/>
            <w:tcBorders>
              <w:top w:val="single" w:sz="8" w:space="0" w:color="auto"/>
              <w:left w:val="nil"/>
              <w:bottom w:val="single" w:sz="4" w:space="0" w:color="auto"/>
              <w:right w:val="nil"/>
            </w:tcBorders>
            <w:vAlign w:val="center"/>
            <w:hideMark/>
          </w:tcPr>
          <w:p w:rsidR="007753DE" w:rsidRPr="007C08E9" w:rsidRDefault="007753DE" w:rsidP="008D0C26">
            <w:pPr>
              <w:pStyle w:val="Table-Title-Center"/>
              <w:spacing w:line="200" w:lineRule="exact"/>
              <w:rPr>
                <w:sz w:val="14"/>
                <w:szCs w:val="14"/>
              </w:rPr>
            </w:pPr>
          </w:p>
        </w:tc>
        <w:tc>
          <w:tcPr>
            <w:tcW w:w="1440" w:type="dxa"/>
            <w:vMerge/>
            <w:tcBorders>
              <w:top w:val="single" w:sz="8" w:space="0" w:color="auto"/>
              <w:left w:val="nil"/>
              <w:bottom w:val="single" w:sz="4" w:space="0" w:color="auto"/>
              <w:right w:val="nil"/>
            </w:tcBorders>
            <w:vAlign w:val="center"/>
            <w:hideMark/>
          </w:tcPr>
          <w:p w:rsidR="007753DE" w:rsidRPr="007C08E9" w:rsidRDefault="007753DE" w:rsidP="008D0C26">
            <w:pPr>
              <w:pStyle w:val="Table-Title-Center"/>
              <w:spacing w:line="200" w:lineRule="exact"/>
              <w:rPr>
                <w:sz w:val="14"/>
                <w:szCs w:val="14"/>
              </w:rPr>
            </w:pPr>
          </w:p>
        </w:tc>
        <w:tc>
          <w:tcPr>
            <w:tcW w:w="54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Miles of Pipe</w:t>
            </w:r>
          </w:p>
        </w:tc>
        <w:tc>
          <w:tcPr>
            <w:tcW w:w="225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Collection System Existing Conditions</w:t>
            </w:r>
          </w:p>
        </w:tc>
        <w:tc>
          <w:tcPr>
            <w:tcW w:w="270" w:type="dxa"/>
            <w:tcBorders>
              <w:top w:val="nil"/>
              <w:left w:val="nil"/>
              <w:bottom w:val="single" w:sz="4" w:space="0" w:color="auto"/>
              <w:right w:val="nil"/>
            </w:tcBorders>
            <w:shd w:val="clear" w:color="000000" w:fill="FFFFFF"/>
            <w:vAlign w:val="bottom"/>
            <w:hideMark/>
          </w:tcPr>
          <w:p w:rsidR="007753DE" w:rsidRPr="007C08E9" w:rsidRDefault="007753DE" w:rsidP="008D0C26">
            <w:pPr>
              <w:pStyle w:val="Table-Title-Center"/>
              <w:spacing w:line="200" w:lineRule="exact"/>
              <w:rPr>
                <w:sz w:val="14"/>
                <w:szCs w:val="14"/>
              </w:rPr>
            </w:pPr>
            <w:r w:rsidRPr="007C08E9">
              <w:rPr>
                <w:sz w:val="14"/>
                <w:szCs w:val="14"/>
              </w:rPr>
              <w:t> </w:t>
            </w:r>
          </w:p>
        </w:tc>
        <w:tc>
          <w:tcPr>
            <w:tcW w:w="90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Existing Average Annual Flow (mgd)</w:t>
            </w:r>
          </w:p>
        </w:tc>
        <w:tc>
          <w:tcPr>
            <w:tcW w:w="81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Design Flow (mgd)</w:t>
            </w:r>
          </w:p>
        </w:tc>
        <w:tc>
          <w:tcPr>
            <w:tcW w:w="720" w:type="dxa"/>
            <w:tcBorders>
              <w:top w:val="nil"/>
              <w:left w:val="nil"/>
              <w:bottom w:val="single" w:sz="4" w:space="0" w:color="auto"/>
              <w:right w:val="nil"/>
            </w:tcBorders>
            <w:shd w:val="clear" w:color="000000" w:fill="FFFFFF"/>
            <w:vAlign w:val="center"/>
            <w:hideMark/>
          </w:tcPr>
          <w:p w:rsidR="00F62810" w:rsidRPr="007C08E9" w:rsidRDefault="007753DE" w:rsidP="008D0C26">
            <w:pPr>
              <w:pStyle w:val="Table-Title-Center"/>
              <w:spacing w:line="200" w:lineRule="exact"/>
              <w:rPr>
                <w:sz w:val="14"/>
                <w:szCs w:val="14"/>
              </w:rPr>
            </w:pPr>
            <w:r w:rsidRPr="007C08E9">
              <w:rPr>
                <w:sz w:val="14"/>
                <w:szCs w:val="14"/>
              </w:rPr>
              <w:t>Surplus/</w:t>
            </w:r>
          </w:p>
          <w:p w:rsidR="007753DE" w:rsidRPr="007C08E9" w:rsidRDefault="007753DE" w:rsidP="008D0C26">
            <w:pPr>
              <w:pStyle w:val="Table-Title-Center"/>
              <w:spacing w:line="200" w:lineRule="exact"/>
              <w:rPr>
                <w:sz w:val="14"/>
                <w:szCs w:val="14"/>
              </w:rPr>
            </w:pPr>
            <w:r w:rsidRPr="007C08E9">
              <w:rPr>
                <w:sz w:val="14"/>
                <w:szCs w:val="14"/>
              </w:rPr>
              <w:t>Deficit (mgd)</w:t>
            </w:r>
          </w:p>
        </w:tc>
        <w:tc>
          <w:tcPr>
            <w:tcW w:w="36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 </w:t>
            </w:r>
          </w:p>
        </w:tc>
        <w:tc>
          <w:tcPr>
            <w:tcW w:w="90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r w:rsidRPr="007C08E9">
              <w:rPr>
                <w:sz w:val="14"/>
                <w:szCs w:val="14"/>
              </w:rPr>
              <w:t>2013 Population</w:t>
            </w:r>
            <w:r w:rsidR="0093073C">
              <w:rPr>
                <w:sz w:val="14"/>
                <w:szCs w:val="14"/>
              </w:rPr>
              <w:t xml:space="preserve"> Estimate</w:t>
            </w:r>
          </w:p>
        </w:tc>
        <w:tc>
          <w:tcPr>
            <w:tcW w:w="270" w:type="dxa"/>
            <w:tcBorders>
              <w:top w:val="nil"/>
              <w:left w:val="nil"/>
              <w:bottom w:val="single" w:sz="4" w:space="0" w:color="auto"/>
              <w:right w:val="nil"/>
            </w:tcBorders>
            <w:shd w:val="clear" w:color="000000" w:fill="FFFFFF"/>
            <w:vAlign w:val="center"/>
            <w:hideMark/>
          </w:tcPr>
          <w:p w:rsidR="007753DE" w:rsidRPr="007C08E9" w:rsidRDefault="007753DE" w:rsidP="008D0C26">
            <w:pPr>
              <w:pStyle w:val="Table-Title-Center"/>
              <w:spacing w:line="200" w:lineRule="exact"/>
              <w:rPr>
                <w:sz w:val="14"/>
                <w:szCs w:val="14"/>
              </w:rPr>
            </w:pPr>
          </w:p>
        </w:tc>
        <w:tc>
          <w:tcPr>
            <w:tcW w:w="1980" w:type="dxa"/>
            <w:vMerge/>
            <w:tcBorders>
              <w:top w:val="nil"/>
              <w:left w:val="nil"/>
              <w:bottom w:val="single" w:sz="4" w:space="0" w:color="auto"/>
              <w:right w:val="nil"/>
            </w:tcBorders>
            <w:vAlign w:val="center"/>
            <w:hideMark/>
          </w:tcPr>
          <w:p w:rsidR="007753DE" w:rsidRPr="007C08E9" w:rsidRDefault="007753DE" w:rsidP="008D0C26">
            <w:pPr>
              <w:pStyle w:val="Table-Title-Center"/>
              <w:spacing w:line="200" w:lineRule="exact"/>
              <w:rPr>
                <w:sz w:val="14"/>
                <w:szCs w:val="14"/>
              </w:rPr>
            </w:pPr>
          </w:p>
        </w:tc>
      </w:tr>
      <w:tr w:rsidR="002D786A" w:rsidRPr="007C08E9" w:rsidTr="00886241">
        <w:tc>
          <w:tcPr>
            <w:tcW w:w="810" w:type="dxa"/>
            <w:tcBorders>
              <w:top w:val="single" w:sz="4" w:space="0" w:color="auto"/>
              <w:left w:val="nil"/>
              <w:bottom w:val="nil"/>
              <w:right w:val="nil"/>
            </w:tcBorders>
            <w:shd w:val="clear" w:color="auto" w:fill="auto"/>
            <w:vAlign w:val="center"/>
            <w:hideMark/>
          </w:tcPr>
          <w:p w:rsidR="007753DE" w:rsidRPr="007C08E9" w:rsidRDefault="007753DE" w:rsidP="008D0C26">
            <w:pPr>
              <w:pStyle w:val="TableText"/>
              <w:rPr>
                <w:sz w:val="14"/>
                <w:szCs w:val="14"/>
              </w:rPr>
            </w:pPr>
            <w:r w:rsidRPr="007C08E9">
              <w:rPr>
                <w:sz w:val="14"/>
                <w:szCs w:val="14"/>
              </w:rPr>
              <w:t>2009</w:t>
            </w:r>
          </w:p>
        </w:tc>
        <w:tc>
          <w:tcPr>
            <w:tcW w:w="1440" w:type="dxa"/>
            <w:tcBorders>
              <w:top w:val="single" w:sz="4" w:space="0" w:color="auto"/>
              <w:left w:val="nil"/>
              <w:bottom w:val="nil"/>
              <w:right w:val="nil"/>
            </w:tcBorders>
            <w:shd w:val="clear" w:color="auto" w:fill="auto"/>
            <w:vAlign w:val="center"/>
            <w:hideMark/>
          </w:tcPr>
          <w:p w:rsidR="007753DE" w:rsidRPr="007C08E9" w:rsidRDefault="007753DE" w:rsidP="008D0C26">
            <w:pPr>
              <w:pStyle w:val="TableText"/>
              <w:rPr>
                <w:sz w:val="14"/>
                <w:szCs w:val="14"/>
              </w:rPr>
            </w:pPr>
            <w:r w:rsidRPr="007C08E9">
              <w:rPr>
                <w:sz w:val="14"/>
                <w:szCs w:val="14"/>
              </w:rPr>
              <w:t>Birch Bay Water and Sewer District (BBWSD)</w:t>
            </w:r>
          </w:p>
        </w:tc>
        <w:tc>
          <w:tcPr>
            <w:tcW w:w="540" w:type="dxa"/>
            <w:tcBorders>
              <w:top w:val="single" w:sz="4" w:space="0" w:color="auto"/>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56</w:t>
            </w:r>
          </w:p>
        </w:tc>
        <w:tc>
          <w:tcPr>
            <w:tcW w:w="2250" w:type="dxa"/>
            <w:tcBorders>
              <w:top w:val="single" w:sz="4" w:space="0" w:color="auto"/>
              <w:left w:val="nil"/>
              <w:bottom w:val="nil"/>
              <w:right w:val="nil"/>
            </w:tcBorders>
            <w:shd w:val="clear" w:color="auto" w:fill="auto"/>
            <w:vAlign w:val="center"/>
            <w:hideMark/>
          </w:tcPr>
          <w:p w:rsidR="00A4590F" w:rsidRDefault="00A4590F" w:rsidP="008D0C26">
            <w:pPr>
              <w:pStyle w:val="TableText"/>
              <w:rPr>
                <w:sz w:val="14"/>
                <w:szCs w:val="14"/>
              </w:rPr>
            </w:pPr>
          </w:p>
          <w:p w:rsidR="007753DE" w:rsidRPr="007C08E9" w:rsidRDefault="007753DE" w:rsidP="00536EAF">
            <w:pPr>
              <w:pStyle w:val="TableText"/>
              <w:rPr>
                <w:sz w:val="14"/>
                <w:szCs w:val="14"/>
              </w:rPr>
            </w:pPr>
            <w:r w:rsidRPr="007C08E9">
              <w:rPr>
                <w:sz w:val="14"/>
                <w:szCs w:val="14"/>
              </w:rPr>
              <w:t>The collection system is composed of approximately 56 miles of gravity and pressure sewer</w:t>
            </w:r>
            <w:r w:rsidR="00536EAF">
              <w:rPr>
                <w:sz w:val="14"/>
                <w:szCs w:val="14"/>
              </w:rPr>
              <w:t xml:space="preserve"> lines</w:t>
            </w:r>
            <w:r w:rsidRPr="007C08E9">
              <w:rPr>
                <w:sz w:val="14"/>
                <w:szCs w:val="14"/>
              </w:rPr>
              <w:t xml:space="preserve"> </w:t>
            </w:r>
            <w:r w:rsidR="00536EAF">
              <w:rPr>
                <w:sz w:val="14"/>
                <w:szCs w:val="14"/>
              </w:rPr>
              <w:t>and</w:t>
            </w:r>
            <w:r w:rsidRPr="007C08E9">
              <w:rPr>
                <w:sz w:val="14"/>
                <w:szCs w:val="14"/>
              </w:rPr>
              <w:t xml:space="preserve"> 11 pump stations. </w:t>
            </w:r>
          </w:p>
        </w:tc>
        <w:tc>
          <w:tcPr>
            <w:tcW w:w="270" w:type="dxa"/>
            <w:tcBorders>
              <w:top w:val="single" w:sz="4" w:space="0" w:color="auto"/>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single" w:sz="4" w:space="0" w:color="auto"/>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0.97</w:t>
            </w:r>
          </w:p>
        </w:tc>
        <w:tc>
          <w:tcPr>
            <w:tcW w:w="810" w:type="dxa"/>
            <w:tcBorders>
              <w:top w:val="single" w:sz="4" w:space="0" w:color="auto"/>
              <w:left w:val="nil"/>
              <w:bottom w:val="nil"/>
              <w:right w:val="nil"/>
            </w:tcBorders>
            <w:shd w:val="clear" w:color="auto" w:fill="auto"/>
            <w:noWrap/>
            <w:vAlign w:val="center"/>
            <w:hideMark/>
          </w:tcPr>
          <w:p w:rsidR="007753DE" w:rsidRPr="007C08E9" w:rsidRDefault="00D96AA5" w:rsidP="008D0C26">
            <w:pPr>
              <w:pStyle w:val="TableText"/>
              <w:rPr>
                <w:sz w:val="14"/>
                <w:szCs w:val="14"/>
              </w:rPr>
            </w:pPr>
            <w:r>
              <w:rPr>
                <w:sz w:val="14"/>
                <w:szCs w:val="14"/>
              </w:rPr>
              <w:t>1.44</w:t>
            </w:r>
            <w:r w:rsidR="0070610F">
              <w:rPr>
                <w:sz w:val="14"/>
                <w:szCs w:val="14"/>
                <w:vertAlign w:val="superscript"/>
              </w:rPr>
              <w:t>2</w:t>
            </w:r>
          </w:p>
        </w:tc>
        <w:tc>
          <w:tcPr>
            <w:tcW w:w="720" w:type="dxa"/>
            <w:tcBorders>
              <w:top w:val="single" w:sz="4" w:space="0" w:color="auto"/>
              <w:left w:val="nil"/>
              <w:bottom w:val="nil"/>
              <w:right w:val="nil"/>
            </w:tcBorders>
            <w:shd w:val="clear" w:color="auto" w:fill="auto"/>
            <w:noWrap/>
            <w:vAlign w:val="center"/>
            <w:hideMark/>
          </w:tcPr>
          <w:p w:rsidR="007753DE" w:rsidRPr="007C08E9" w:rsidRDefault="0070610F" w:rsidP="008D0C26">
            <w:pPr>
              <w:pStyle w:val="TableText"/>
              <w:rPr>
                <w:sz w:val="14"/>
                <w:szCs w:val="14"/>
              </w:rPr>
            </w:pPr>
            <w:r>
              <w:rPr>
                <w:sz w:val="14"/>
                <w:szCs w:val="14"/>
              </w:rPr>
              <w:t>0.47</w:t>
            </w:r>
          </w:p>
        </w:tc>
        <w:tc>
          <w:tcPr>
            <w:tcW w:w="360" w:type="dxa"/>
            <w:tcBorders>
              <w:top w:val="single" w:sz="4" w:space="0" w:color="auto"/>
              <w:left w:val="nil"/>
              <w:bottom w:val="nil"/>
              <w:right w:val="nil"/>
            </w:tcBorders>
            <w:shd w:val="clear" w:color="auto" w:fill="auto"/>
            <w:noWrap/>
            <w:vAlign w:val="center"/>
            <w:hideMark/>
          </w:tcPr>
          <w:p w:rsidR="007753DE" w:rsidRPr="007C08E9" w:rsidRDefault="007753DE" w:rsidP="008D0C26">
            <w:pPr>
              <w:pStyle w:val="TableText"/>
              <w:rPr>
                <w:sz w:val="14"/>
                <w:szCs w:val="14"/>
              </w:rPr>
            </w:pPr>
          </w:p>
        </w:tc>
        <w:tc>
          <w:tcPr>
            <w:tcW w:w="900" w:type="dxa"/>
            <w:tcBorders>
              <w:top w:val="single" w:sz="4" w:space="0" w:color="auto"/>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8,639</w:t>
            </w:r>
          </w:p>
        </w:tc>
        <w:tc>
          <w:tcPr>
            <w:tcW w:w="270" w:type="dxa"/>
            <w:tcBorders>
              <w:top w:val="single" w:sz="4" w:space="0" w:color="auto"/>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single" w:sz="4" w:space="0" w:color="auto"/>
              <w:left w:val="nil"/>
              <w:bottom w:val="nil"/>
              <w:right w:val="nil"/>
            </w:tcBorders>
            <w:shd w:val="clear" w:color="auto" w:fill="auto"/>
            <w:vAlign w:val="center"/>
            <w:hideMark/>
          </w:tcPr>
          <w:p w:rsidR="007753DE" w:rsidRPr="007C08E9" w:rsidRDefault="00E41F46" w:rsidP="004774A8">
            <w:pPr>
              <w:pStyle w:val="TableText"/>
              <w:ind w:right="342"/>
              <w:rPr>
                <w:sz w:val="14"/>
                <w:szCs w:val="14"/>
              </w:rPr>
            </w:pPr>
            <w:r>
              <w:rPr>
                <w:sz w:val="14"/>
                <w:szCs w:val="14"/>
              </w:rPr>
              <w:t>The WWTP discharges to the Strait of Georgia.</w:t>
            </w: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2009</w:t>
            </w:r>
          </w:p>
        </w:tc>
        <w:tc>
          <w:tcPr>
            <w:tcW w:w="14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City of Bellingham</w:t>
            </w:r>
          </w:p>
        </w:tc>
        <w:tc>
          <w:tcPr>
            <w:tcW w:w="540" w:type="dxa"/>
            <w:tcBorders>
              <w:top w:val="nil"/>
              <w:left w:val="nil"/>
              <w:bottom w:val="nil"/>
              <w:right w:val="nil"/>
            </w:tcBorders>
            <w:shd w:val="clear" w:color="auto" w:fill="auto"/>
            <w:noWrap/>
            <w:vAlign w:val="center"/>
            <w:hideMark/>
          </w:tcPr>
          <w:p w:rsidR="007753DE" w:rsidRPr="007C08E9" w:rsidRDefault="00640DAD" w:rsidP="008D0C26">
            <w:pPr>
              <w:pStyle w:val="TableText"/>
              <w:rPr>
                <w:sz w:val="14"/>
                <w:szCs w:val="14"/>
              </w:rPr>
            </w:pPr>
            <w:r>
              <w:rPr>
                <w:sz w:val="14"/>
                <w:szCs w:val="14"/>
              </w:rPr>
              <w:t>324</w:t>
            </w:r>
          </w:p>
        </w:tc>
        <w:tc>
          <w:tcPr>
            <w:tcW w:w="2250" w:type="dxa"/>
            <w:tcBorders>
              <w:top w:val="nil"/>
              <w:left w:val="nil"/>
              <w:bottom w:val="nil"/>
              <w:right w:val="nil"/>
            </w:tcBorders>
            <w:shd w:val="clear" w:color="auto" w:fill="auto"/>
            <w:vAlign w:val="bottom"/>
            <w:hideMark/>
          </w:tcPr>
          <w:p w:rsidR="007753DE" w:rsidRPr="007C08E9" w:rsidRDefault="007753DE" w:rsidP="00640DAD">
            <w:pPr>
              <w:pStyle w:val="TableText"/>
              <w:rPr>
                <w:sz w:val="14"/>
                <w:szCs w:val="14"/>
              </w:rPr>
            </w:pPr>
            <w:r w:rsidRPr="007C08E9">
              <w:rPr>
                <w:sz w:val="14"/>
                <w:szCs w:val="14"/>
              </w:rPr>
              <w:t>Bellingham's sewer service area covers ap</w:t>
            </w:r>
            <w:r w:rsidR="00640DAD">
              <w:rPr>
                <w:sz w:val="14"/>
                <w:szCs w:val="14"/>
              </w:rPr>
              <w:t>proximately 30 sq. miles</w:t>
            </w:r>
            <w:r w:rsidRPr="007C08E9">
              <w:rPr>
                <w:sz w:val="14"/>
                <w:szCs w:val="14"/>
              </w:rPr>
              <w:t>. The City operates</w:t>
            </w:r>
            <w:r w:rsidR="00640DAD">
              <w:rPr>
                <w:sz w:val="14"/>
                <w:szCs w:val="14"/>
              </w:rPr>
              <w:t xml:space="preserve"> and maintains approximately 318</w:t>
            </w:r>
            <w:r w:rsidRPr="007C08E9">
              <w:rPr>
                <w:sz w:val="14"/>
                <w:szCs w:val="14"/>
              </w:rPr>
              <w:t xml:space="preserve"> miles of sewer mains and 6 miles of force mains</w:t>
            </w:r>
            <w:r w:rsidR="00640DAD">
              <w:rPr>
                <w:sz w:val="14"/>
                <w:szCs w:val="14"/>
              </w:rPr>
              <w:t>.  There are 27 pump stations in the system.</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CB7531" w:rsidP="008D0C26">
            <w:pPr>
              <w:pStyle w:val="TableText"/>
              <w:rPr>
                <w:sz w:val="14"/>
                <w:szCs w:val="14"/>
              </w:rPr>
            </w:pPr>
            <w:r>
              <w:rPr>
                <w:sz w:val="14"/>
                <w:szCs w:val="14"/>
              </w:rPr>
              <w:t>19.5</w:t>
            </w:r>
            <w:r w:rsidR="0070610F">
              <w:rPr>
                <w:sz w:val="14"/>
                <w:szCs w:val="14"/>
                <w:vertAlign w:val="superscript"/>
              </w:rPr>
              <w:t>3</w:t>
            </w:r>
          </w:p>
        </w:tc>
        <w:tc>
          <w:tcPr>
            <w:tcW w:w="810" w:type="dxa"/>
            <w:tcBorders>
              <w:top w:val="nil"/>
              <w:left w:val="nil"/>
              <w:bottom w:val="nil"/>
              <w:right w:val="nil"/>
            </w:tcBorders>
            <w:shd w:val="clear" w:color="auto" w:fill="auto"/>
            <w:noWrap/>
            <w:vAlign w:val="center"/>
            <w:hideMark/>
          </w:tcPr>
          <w:p w:rsidR="007753DE" w:rsidRPr="007C08E9" w:rsidRDefault="00640DAD" w:rsidP="008D0C26">
            <w:pPr>
              <w:pStyle w:val="TableText"/>
              <w:rPr>
                <w:sz w:val="14"/>
                <w:szCs w:val="14"/>
              </w:rPr>
            </w:pPr>
            <w:r>
              <w:rPr>
                <w:sz w:val="14"/>
                <w:szCs w:val="14"/>
              </w:rPr>
              <w:t>34.3</w:t>
            </w:r>
          </w:p>
        </w:tc>
        <w:tc>
          <w:tcPr>
            <w:tcW w:w="720" w:type="dxa"/>
            <w:tcBorders>
              <w:top w:val="nil"/>
              <w:left w:val="nil"/>
              <w:bottom w:val="nil"/>
              <w:right w:val="nil"/>
            </w:tcBorders>
            <w:shd w:val="clear" w:color="auto" w:fill="auto"/>
            <w:noWrap/>
            <w:vAlign w:val="center"/>
            <w:hideMark/>
          </w:tcPr>
          <w:p w:rsidR="007753DE" w:rsidRPr="007C08E9" w:rsidRDefault="00CB7531" w:rsidP="008D0C26">
            <w:pPr>
              <w:pStyle w:val="TableText"/>
              <w:rPr>
                <w:sz w:val="14"/>
                <w:szCs w:val="14"/>
              </w:rPr>
            </w:pPr>
            <w:r>
              <w:rPr>
                <w:sz w:val="14"/>
                <w:szCs w:val="14"/>
              </w:rPr>
              <w:t>14.8</w:t>
            </w:r>
          </w:p>
        </w:tc>
        <w:tc>
          <w:tcPr>
            <w:tcW w:w="36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89,629</w:t>
            </w:r>
          </w:p>
        </w:tc>
        <w:tc>
          <w:tcPr>
            <w:tcW w:w="270" w:type="dxa"/>
            <w:tcBorders>
              <w:top w:val="nil"/>
              <w:left w:val="nil"/>
              <w:bottom w:val="nil"/>
              <w:right w:val="nil"/>
            </w:tcBorders>
            <w:shd w:val="clear" w:color="auto" w:fill="auto"/>
            <w:noWrap/>
            <w:vAlign w:val="center"/>
            <w:hideMark/>
          </w:tcPr>
          <w:p w:rsidR="007753DE" w:rsidRPr="007C08E9" w:rsidRDefault="007753DE" w:rsidP="009F4FE1">
            <w:pPr>
              <w:pStyle w:val="TableText"/>
              <w:rPr>
                <w:sz w:val="14"/>
                <w:szCs w:val="14"/>
              </w:rPr>
            </w:pPr>
            <w:r w:rsidRPr="007C08E9">
              <w:rPr>
                <w:sz w:val="14"/>
                <w:szCs w:val="14"/>
              </w:rPr>
              <w:t xml:space="preserve">          </w:t>
            </w:r>
          </w:p>
        </w:tc>
        <w:tc>
          <w:tcPr>
            <w:tcW w:w="1980" w:type="dxa"/>
            <w:tcBorders>
              <w:top w:val="nil"/>
              <w:left w:val="nil"/>
              <w:bottom w:val="nil"/>
              <w:right w:val="nil"/>
            </w:tcBorders>
            <w:shd w:val="clear" w:color="auto" w:fill="auto"/>
            <w:vAlign w:val="center"/>
            <w:hideMark/>
          </w:tcPr>
          <w:p w:rsidR="007753DE" w:rsidRPr="007C08E9" w:rsidRDefault="00640DAD" w:rsidP="00640DAD">
            <w:pPr>
              <w:pStyle w:val="TableText"/>
              <w:rPr>
                <w:sz w:val="14"/>
                <w:szCs w:val="14"/>
              </w:rPr>
            </w:pPr>
            <w:r>
              <w:rPr>
                <w:sz w:val="14"/>
                <w:szCs w:val="14"/>
              </w:rPr>
              <w:t>The WWTP discharges to the Bellingham Bay.</w:t>
            </w: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2004</w:t>
            </w:r>
          </w:p>
        </w:tc>
        <w:tc>
          <w:tcPr>
            <w:tcW w:w="14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 xml:space="preserve">City of Blaine </w:t>
            </w:r>
          </w:p>
        </w:tc>
        <w:tc>
          <w:tcPr>
            <w:tcW w:w="5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40</w:t>
            </w:r>
          </w:p>
        </w:tc>
        <w:tc>
          <w:tcPr>
            <w:tcW w:w="2250" w:type="dxa"/>
            <w:tcBorders>
              <w:top w:val="nil"/>
              <w:left w:val="nil"/>
              <w:bottom w:val="nil"/>
              <w:right w:val="nil"/>
            </w:tcBorders>
            <w:shd w:val="clear" w:color="auto" w:fill="auto"/>
            <w:vAlign w:val="bottom"/>
            <w:hideMark/>
          </w:tcPr>
          <w:p w:rsidR="007753DE" w:rsidRPr="007C08E9" w:rsidRDefault="007753DE" w:rsidP="00C54419">
            <w:pPr>
              <w:pStyle w:val="TableText"/>
              <w:rPr>
                <w:sz w:val="14"/>
                <w:szCs w:val="14"/>
              </w:rPr>
            </w:pPr>
            <w:r w:rsidRPr="007C08E9">
              <w:rPr>
                <w:sz w:val="14"/>
                <w:szCs w:val="14"/>
              </w:rPr>
              <w:t>The existing service area for the Blaine sewage treatment system is in the Blaine city limits. In July 2010, the Lighthouse Point Water Reclamat</w:t>
            </w:r>
            <w:r w:rsidR="00536EAF">
              <w:rPr>
                <w:sz w:val="14"/>
                <w:szCs w:val="14"/>
              </w:rPr>
              <w:t xml:space="preserve">ion Facility </w:t>
            </w:r>
            <w:r w:rsidRPr="007C08E9">
              <w:rPr>
                <w:sz w:val="14"/>
                <w:szCs w:val="14"/>
              </w:rPr>
              <w:t>came on-line wit</w:t>
            </w:r>
            <w:r w:rsidR="00A4590F">
              <w:rPr>
                <w:sz w:val="14"/>
                <w:szCs w:val="14"/>
              </w:rPr>
              <w:t>h capacity to treat 1.54 MGD</w:t>
            </w:r>
            <w:r w:rsidR="00C54419">
              <w:rPr>
                <w:sz w:val="14"/>
                <w:szCs w:val="14"/>
              </w:rPr>
              <w:t xml:space="preserve">. </w:t>
            </w:r>
            <w:r w:rsidRPr="007C08E9">
              <w:rPr>
                <w:sz w:val="14"/>
                <w:szCs w:val="14"/>
              </w:rPr>
              <w:t xml:space="preserve"> The City of Blaine wastewater collection system consists of gravity sewers, force mains, and eight pumping stations. </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0.5</w:t>
            </w:r>
          </w:p>
        </w:tc>
        <w:tc>
          <w:tcPr>
            <w:tcW w:w="810" w:type="dxa"/>
            <w:tcBorders>
              <w:top w:val="nil"/>
              <w:left w:val="nil"/>
              <w:bottom w:val="nil"/>
              <w:right w:val="nil"/>
            </w:tcBorders>
            <w:shd w:val="clear" w:color="auto" w:fill="auto"/>
            <w:noWrap/>
            <w:vAlign w:val="center"/>
            <w:hideMark/>
          </w:tcPr>
          <w:p w:rsidR="007753DE" w:rsidRPr="007C08E9" w:rsidRDefault="00E11950" w:rsidP="008D0C26">
            <w:pPr>
              <w:pStyle w:val="TableText"/>
              <w:rPr>
                <w:sz w:val="14"/>
                <w:szCs w:val="14"/>
              </w:rPr>
            </w:pPr>
            <w:r>
              <w:rPr>
                <w:sz w:val="14"/>
                <w:szCs w:val="14"/>
              </w:rPr>
              <w:t>1.54</w:t>
            </w:r>
          </w:p>
        </w:tc>
        <w:tc>
          <w:tcPr>
            <w:tcW w:w="720" w:type="dxa"/>
            <w:tcBorders>
              <w:top w:val="nil"/>
              <w:left w:val="nil"/>
              <w:bottom w:val="nil"/>
              <w:right w:val="nil"/>
            </w:tcBorders>
            <w:shd w:val="clear" w:color="auto" w:fill="auto"/>
            <w:noWrap/>
            <w:vAlign w:val="center"/>
            <w:hideMark/>
          </w:tcPr>
          <w:p w:rsidR="007753DE" w:rsidRPr="007C08E9" w:rsidRDefault="00E11950" w:rsidP="008D0C26">
            <w:pPr>
              <w:pStyle w:val="TableText"/>
              <w:rPr>
                <w:sz w:val="14"/>
                <w:szCs w:val="14"/>
              </w:rPr>
            </w:pPr>
            <w:r>
              <w:rPr>
                <w:sz w:val="14"/>
                <w:szCs w:val="14"/>
              </w:rPr>
              <w:t>1.04</w:t>
            </w:r>
          </w:p>
        </w:tc>
        <w:tc>
          <w:tcPr>
            <w:tcW w:w="36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4,778</w:t>
            </w:r>
          </w:p>
        </w:tc>
        <w:tc>
          <w:tcPr>
            <w:tcW w:w="270" w:type="dxa"/>
            <w:tcBorders>
              <w:top w:val="nil"/>
              <w:left w:val="nil"/>
              <w:bottom w:val="nil"/>
              <w:right w:val="nil"/>
            </w:tcBorders>
            <w:shd w:val="clear" w:color="auto" w:fill="auto"/>
            <w:noWrap/>
            <w:vAlign w:val="center"/>
            <w:hideMark/>
          </w:tcPr>
          <w:p w:rsidR="007753DE" w:rsidRPr="007C08E9" w:rsidRDefault="007753DE" w:rsidP="009F4FE1">
            <w:pPr>
              <w:pStyle w:val="TableText"/>
              <w:rPr>
                <w:sz w:val="14"/>
                <w:szCs w:val="14"/>
              </w:rPr>
            </w:pPr>
            <w:r w:rsidRPr="007C08E9">
              <w:rPr>
                <w:sz w:val="14"/>
                <w:szCs w:val="14"/>
              </w:rPr>
              <w:t xml:space="preserve">           </w:t>
            </w:r>
          </w:p>
        </w:tc>
        <w:tc>
          <w:tcPr>
            <w:tcW w:w="1980" w:type="dxa"/>
            <w:tcBorders>
              <w:top w:val="nil"/>
              <w:left w:val="nil"/>
              <w:bottom w:val="nil"/>
              <w:right w:val="nil"/>
            </w:tcBorders>
            <w:shd w:val="clear" w:color="auto" w:fill="auto"/>
            <w:vAlign w:val="center"/>
            <w:hideMark/>
          </w:tcPr>
          <w:p w:rsidR="007753DE" w:rsidRPr="007C08E9" w:rsidRDefault="009352F0" w:rsidP="008D0C26">
            <w:pPr>
              <w:pStyle w:val="TableText"/>
              <w:rPr>
                <w:sz w:val="14"/>
                <w:szCs w:val="14"/>
              </w:rPr>
            </w:pPr>
            <w:r>
              <w:rPr>
                <w:sz w:val="14"/>
                <w:szCs w:val="14"/>
              </w:rPr>
              <w:t>The WWTP discharges to Semiahmoo Bay.</w:t>
            </w: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2012</w:t>
            </w:r>
          </w:p>
        </w:tc>
        <w:tc>
          <w:tcPr>
            <w:tcW w:w="1440" w:type="dxa"/>
            <w:tcBorders>
              <w:top w:val="nil"/>
              <w:left w:val="nil"/>
              <w:bottom w:val="nil"/>
              <w:right w:val="nil"/>
            </w:tcBorders>
            <w:shd w:val="clear" w:color="auto" w:fill="auto"/>
            <w:noWrap/>
            <w:vAlign w:val="center"/>
            <w:hideMark/>
          </w:tcPr>
          <w:p w:rsidR="007753DE" w:rsidRPr="007C08E9" w:rsidRDefault="0084292D" w:rsidP="008D0C26">
            <w:pPr>
              <w:pStyle w:val="TableText"/>
              <w:rPr>
                <w:sz w:val="14"/>
                <w:szCs w:val="14"/>
              </w:rPr>
            </w:pPr>
            <w:r>
              <w:rPr>
                <w:sz w:val="14"/>
                <w:szCs w:val="14"/>
              </w:rPr>
              <w:t>City of Everson</w:t>
            </w:r>
            <w:r w:rsidR="0070610F">
              <w:rPr>
                <w:sz w:val="14"/>
                <w:szCs w:val="14"/>
                <w:vertAlign w:val="superscript"/>
              </w:rPr>
              <w:t>4</w:t>
            </w:r>
          </w:p>
        </w:tc>
        <w:tc>
          <w:tcPr>
            <w:tcW w:w="540" w:type="dxa"/>
            <w:tcBorders>
              <w:top w:val="nil"/>
              <w:left w:val="nil"/>
              <w:bottom w:val="nil"/>
              <w:right w:val="nil"/>
            </w:tcBorders>
            <w:shd w:val="clear" w:color="auto" w:fill="auto"/>
            <w:noWrap/>
            <w:vAlign w:val="center"/>
            <w:hideMark/>
          </w:tcPr>
          <w:p w:rsidR="007753DE" w:rsidRPr="007C08E9" w:rsidRDefault="004F3375" w:rsidP="008D0C26">
            <w:pPr>
              <w:pStyle w:val="TableText"/>
              <w:rPr>
                <w:sz w:val="14"/>
                <w:szCs w:val="14"/>
              </w:rPr>
            </w:pPr>
            <w:r>
              <w:rPr>
                <w:sz w:val="14"/>
                <w:szCs w:val="14"/>
              </w:rPr>
              <w:t>10</w:t>
            </w:r>
          </w:p>
        </w:tc>
        <w:tc>
          <w:tcPr>
            <w:tcW w:w="2250" w:type="dxa"/>
            <w:tcBorders>
              <w:top w:val="nil"/>
              <w:left w:val="nil"/>
              <w:bottom w:val="nil"/>
              <w:right w:val="nil"/>
            </w:tcBorders>
            <w:shd w:val="clear" w:color="auto" w:fill="auto"/>
            <w:vAlign w:val="bottom"/>
            <w:hideMark/>
          </w:tcPr>
          <w:p w:rsidR="007753DE" w:rsidRPr="007C08E9" w:rsidRDefault="007753DE" w:rsidP="00C54419">
            <w:pPr>
              <w:pStyle w:val="TableText"/>
              <w:rPr>
                <w:sz w:val="14"/>
                <w:szCs w:val="14"/>
              </w:rPr>
            </w:pPr>
            <w:r w:rsidRPr="007C08E9">
              <w:rPr>
                <w:sz w:val="14"/>
                <w:szCs w:val="14"/>
              </w:rPr>
              <w:t xml:space="preserve">The collection system has </w:t>
            </w:r>
            <w:r w:rsidR="004F3375">
              <w:rPr>
                <w:sz w:val="14"/>
                <w:szCs w:val="14"/>
              </w:rPr>
              <w:t>over 10</w:t>
            </w:r>
            <w:r w:rsidR="00C54419">
              <w:rPr>
                <w:sz w:val="14"/>
                <w:szCs w:val="14"/>
              </w:rPr>
              <w:t xml:space="preserve"> miles of gravity and force main pipe and 8 </w:t>
            </w:r>
            <w:r w:rsidRPr="007C08E9">
              <w:rPr>
                <w:sz w:val="14"/>
                <w:szCs w:val="14"/>
              </w:rPr>
              <w:t>wastewater pump stations within city limits. The Ever</w:t>
            </w:r>
            <w:r w:rsidR="00956B49">
              <w:rPr>
                <w:sz w:val="14"/>
                <w:szCs w:val="14"/>
              </w:rPr>
              <w:t>son WWTP</w:t>
            </w:r>
            <w:r w:rsidRPr="007C08E9">
              <w:rPr>
                <w:sz w:val="14"/>
                <w:szCs w:val="14"/>
              </w:rPr>
              <w:t xml:space="preserve"> </w:t>
            </w:r>
            <w:r w:rsidR="00E96417">
              <w:rPr>
                <w:sz w:val="14"/>
                <w:szCs w:val="14"/>
              </w:rPr>
              <w:t>treats wastewater from both Everson and Nooksack.</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C54419" w:rsidP="008D0C26">
            <w:pPr>
              <w:pStyle w:val="TableText"/>
              <w:rPr>
                <w:sz w:val="14"/>
                <w:szCs w:val="14"/>
              </w:rPr>
            </w:pPr>
            <w:r>
              <w:rPr>
                <w:sz w:val="14"/>
                <w:szCs w:val="14"/>
              </w:rPr>
              <w:t>0.28</w:t>
            </w:r>
          </w:p>
        </w:tc>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0.44</w:t>
            </w:r>
          </w:p>
        </w:tc>
        <w:tc>
          <w:tcPr>
            <w:tcW w:w="720" w:type="dxa"/>
            <w:tcBorders>
              <w:top w:val="nil"/>
              <w:left w:val="nil"/>
              <w:bottom w:val="nil"/>
              <w:right w:val="nil"/>
            </w:tcBorders>
            <w:shd w:val="clear" w:color="auto" w:fill="auto"/>
            <w:noWrap/>
            <w:vAlign w:val="center"/>
            <w:hideMark/>
          </w:tcPr>
          <w:p w:rsidR="007753DE" w:rsidRPr="007C08E9" w:rsidRDefault="00C54419" w:rsidP="00E96417">
            <w:pPr>
              <w:pStyle w:val="TableText"/>
              <w:rPr>
                <w:sz w:val="14"/>
                <w:szCs w:val="14"/>
              </w:rPr>
            </w:pPr>
            <w:r>
              <w:rPr>
                <w:sz w:val="14"/>
                <w:szCs w:val="14"/>
              </w:rPr>
              <w:t>0.16</w:t>
            </w:r>
          </w:p>
        </w:tc>
        <w:tc>
          <w:tcPr>
            <w:tcW w:w="36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2,510</w:t>
            </w:r>
          </w:p>
        </w:tc>
        <w:tc>
          <w:tcPr>
            <w:tcW w:w="270" w:type="dxa"/>
            <w:tcBorders>
              <w:top w:val="nil"/>
              <w:left w:val="nil"/>
              <w:bottom w:val="nil"/>
              <w:right w:val="nil"/>
            </w:tcBorders>
            <w:shd w:val="clear" w:color="auto" w:fill="auto"/>
            <w:noWrap/>
            <w:vAlign w:val="center"/>
            <w:hideMark/>
          </w:tcPr>
          <w:p w:rsidR="007753DE" w:rsidRPr="007C08E9" w:rsidRDefault="007753DE" w:rsidP="009F4FE1">
            <w:pPr>
              <w:pStyle w:val="TableText"/>
              <w:rPr>
                <w:sz w:val="14"/>
                <w:szCs w:val="14"/>
              </w:rPr>
            </w:pPr>
            <w:r w:rsidRPr="007C08E9">
              <w:rPr>
                <w:sz w:val="14"/>
                <w:szCs w:val="14"/>
              </w:rPr>
              <w:t xml:space="preserve">           </w:t>
            </w:r>
          </w:p>
        </w:tc>
        <w:tc>
          <w:tcPr>
            <w:tcW w:w="1980" w:type="dxa"/>
            <w:tcBorders>
              <w:top w:val="nil"/>
              <w:left w:val="nil"/>
              <w:bottom w:val="nil"/>
              <w:right w:val="nil"/>
            </w:tcBorders>
            <w:shd w:val="clear" w:color="auto" w:fill="auto"/>
            <w:vAlign w:val="center"/>
            <w:hideMark/>
          </w:tcPr>
          <w:p w:rsidR="007753DE" w:rsidRPr="007C08E9" w:rsidRDefault="00C54419" w:rsidP="006060BD">
            <w:pPr>
              <w:pStyle w:val="TableText"/>
              <w:rPr>
                <w:sz w:val="14"/>
                <w:szCs w:val="14"/>
              </w:rPr>
            </w:pPr>
            <w:r>
              <w:rPr>
                <w:sz w:val="14"/>
                <w:szCs w:val="14"/>
              </w:rPr>
              <w:t>The WWTP d</w:t>
            </w:r>
            <w:r w:rsidR="006060BD">
              <w:rPr>
                <w:sz w:val="14"/>
                <w:szCs w:val="14"/>
              </w:rPr>
              <w:t>ischarges to the Nooksack River.</w:t>
            </w:r>
          </w:p>
        </w:tc>
      </w:tr>
      <w:tr w:rsidR="002D786A" w:rsidRPr="007C08E9" w:rsidTr="00C5689C">
        <w:tc>
          <w:tcPr>
            <w:tcW w:w="810" w:type="dxa"/>
            <w:tcBorders>
              <w:top w:val="nil"/>
              <w:left w:val="nil"/>
              <w:bottom w:val="nil"/>
              <w:right w:val="nil"/>
            </w:tcBorders>
            <w:shd w:val="clear" w:color="auto" w:fill="auto"/>
            <w:noWrap/>
            <w:vAlign w:val="center"/>
            <w:hideMark/>
          </w:tcPr>
          <w:p w:rsidR="007753DE" w:rsidRPr="007C08E9" w:rsidRDefault="00AA179D" w:rsidP="008D0C26">
            <w:pPr>
              <w:pStyle w:val="TableText"/>
              <w:rPr>
                <w:sz w:val="14"/>
                <w:szCs w:val="14"/>
              </w:rPr>
            </w:pPr>
            <w:r>
              <w:rPr>
                <w:sz w:val="14"/>
                <w:szCs w:val="14"/>
              </w:rPr>
              <w:t>2016</w:t>
            </w:r>
          </w:p>
        </w:tc>
        <w:tc>
          <w:tcPr>
            <w:tcW w:w="1440" w:type="dxa"/>
            <w:tcBorders>
              <w:top w:val="nil"/>
              <w:left w:val="nil"/>
              <w:bottom w:val="nil"/>
              <w:right w:val="nil"/>
            </w:tcBorders>
            <w:shd w:val="clear" w:color="auto" w:fill="auto"/>
            <w:noWrap/>
            <w:vAlign w:val="center"/>
            <w:hideMark/>
          </w:tcPr>
          <w:p w:rsidR="007753DE" w:rsidRPr="007C08E9" w:rsidRDefault="0084292D" w:rsidP="008D0C26">
            <w:pPr>
              <w:pStyle w:val="TableText"/>
              <w:rPr>
                <w:sz w:val="14"/>
                <w:szCs w:val="14"/>
              </w:rPr>
            </w:pPr>
            <w:r>
              <w:rPr>
                <w:sz w:val="14"/>
                <w:szCs w:val="14"/>
              </w:rPr>
              <w:t>City of Ferndale</w:t>
            </w:r>
            <w:r w:rsidR="0070610F">
              <w:rPr>
                <w:sz w:val="14"/>
                <w:szCs w:val="14"/>
                <w:vertAlign w:val="superscript"/>
              </w:rPr>
              <w:t>5</w:t>
            </w:r>
          </w:p>
        </w:tc>
        <w:tc>
          <w:tcPr>
            <w:tcW w:w="5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58</w:t>
            </w:r>
          </w:p>
        </w:tc>
        <w:tc>
          <w:tcPr>
            <w:tcW w:w="2250" w:type="dxa"/>
            <w:tcBorders>
              <w:top w:val="nil"/>
              <w:left w:val="nil"/>
              <w:bottom w:val="nil"/>
              <w:right w:val="nil"/>
            </w:tcBorders>
            <w:shd w:val="clear" w:color="auto" w:fill="auto"/>
            <w:vAlign w:val="bottom"/>
            <w:hideMark/>
          </w:tcPr>
          <w:p w:rsidR="007753DE" w:rsidRPr="007C08E9" w:rsidRDefault="007753DE" w:rsidP="008D0C26">
            <w:pPr>
              <w:pStyle w:val="TableText"/>
              <w:rPr>
                <w:sz w:val="14"/>
                <w:szCs w:val="14"/>
              </w:rPr>
            </w:pPr>
            <w:r w:rsidRPr="007C08E9">
              <w:rPr>
                <w:sz w:val="14"/>
                <w:szCs w:val="14"/>
              </w:rPr>
              <w:t xml:space="preserve">Ferndale's collection system has 58 miles of gravity and </w:t>
            </w:r>
            <w:r w:rsidR="00536EAF">
              <w:rPr>
                <w:sz w:val="14"/>
                <w:szCs w:val="14"/>
              </w:rPr>
              <w:t>force main piping and 17 pump</w:t>
            </w:r>
            <w:r w:rsidRPr="007C08E9">
              <w:rPr>
                <w:sz w:val="14"/>
                <w:szCs w:val="14"/>
              </w:rPr>
              <w:t xml:space="preserve"> stations.</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AA179D" w:rsidP="008D0C26">
            <w:pPr>
              <w:pStyle w:val="TableText"/>
              <w:rPr>
                <w:sz w:val="14"/>
                <w:szCs w:val="14"/>
              </w:rPr>
            </w:pPr>
            <w:r>
              <w:rPr>
                <w:sz w:val="14"/>
                <w:szCs w:val="14"/>
              </w:rPr>
              <w:t>1.62</w:t>
            </w:r>
          </w:p>
        </w:tc>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6.37</w:t>
            </w:r>
          </w:p>
        </w:tc>
        <w:tc>
          <w:tcPr>
            <w:tcW w:w="720" w:type="dxa"/>
            <w:tcBorders>
              <w:top w:val="nil"/>
              <w:left w:val="nil"/>
              <w:bottom w:val="nil"/>
              <w:right w:val="nil"/>
            </w:tcBorders>
            <w:shd w:val="clear" w:color="auto" w:fill="auto"/>
            <w:noWrap/>
            <w:vAlign w:val="center"/>
            <w:hideMark/>
          </w:tcPr>
          <w:p w:rsidR="007753DE" w:rsidRPr="007C08E9" w:rsidRDefault="00AA179D" w:rsidP="008D0C26">
            <w:pPr>
              <w:pStyle w:val="TableText"/>
              <w:rPr>
                <w:sz w:val="14"/>
                <w:szCs w:val="14"/>
              </w:rPr>
            </w:pPr>
            <w:r>
              <w:rPr>
                <w:sz w:val="14"/>
                <w:szCs w:val="14"/>
              </w:rPr>
              <w:t>4.75</w:t>
            </w:r>
          </w:p>
        </w:tc>
        <w:tc>
          <w:tcPr>
            <w:tcW w:w="36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12,558</w:t>
            </w:r>
          </w:p>
        </w:tc>
        <w:tc>
          <w:tcPr>
            <w:tcW w:w="27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nil"/>
              <w:right w:val="nil"/>
            </w:tcBorders>
            <w:shd w:val="clear" w:color="auto" w:fill="auto"/>
            <w:noWrap/>
            <w:vAlign w:val="bottom"/>
            <w:hideMark/>
          </w:tcPr>
          <w:p w:rsidR="007753DE" w:rsidRPr="007C08E9" w:rsidRDefault="00C54419" w:rsidP="008D0C26">
            <w:pPr>
              <w:pStyle w:val="TableText"/>
              <w:rPr>
                <w:sz w:val="14"/>
                <w:szCs w:val="14"/>
              </w:rPr>
            </w:pPr>
            <w:r w:rsidRPr="00C54419">
              <w:rPr>
                <w:sz w:val="14"/>
                <w:szCs w:val="14"/>
              </w:rPr>
              <w:t>The WWTP discharges to the Nooksack River.</w:t>
            </w: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C41BF4" w:rsidP="008D0C26">
            <w:pPr>
              <w:pStyle w:val="TableText"/>
              <w:rPr>
                <w:sz w:val="14"/>
                <w:szCs w:val="14"/>
              </w:rPr>
            </w:pPr>
            <w:r>
              <w:rPr>
                <w:sz w:val="14"/>
                <w:szCs w:val="14"/>
              </w:rPr>
              <w:t>2016</w:t>
            </w:r>
          </w:p>
        </w:tc>
        <w:tc>
          <w:tcPr>
            <w:tcW w:w="14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City of Lynden</w:t>
            </w:r>
          </w:p>
        </w:tc>
        <w:tc>
          <w:tcPr>
            <w:tcW w:w="540" w:type="dxa"/>
            <w:tcBorders>
              <w:top w:val="nil"/>
              <w:left w:val="nil"/>
              <w:bottom w:val="nil"/>
              <w:right w:val="nil"/>
            </w:tcBorders>
            <w:shd w:val="clear" w:color="auto" w:fill="auto"/>
            <w:noWrap/>
            <w:vAlign w:val="center"/>
            <w:hideMark/>
          </w:tcPr>
          <w:p w:rsidR="007753DE" w:rsidRPr="007C08E9" w:rsidRDefault="00C41BF4" w:rsidP="008D0C26">
            <w:pPr>
              <w:pStyle w:val="TableText"/>
              <w:rPr>
                <w:sz w:val="14"/>
                <w:szCs w:val="14"/>
              </w:rPr>
            </w:pPr>
            <w:r>
              <w:rPr>
                <w:sz w:val="14"/>
                <w:szCs w:val="14"/>
              </w:rPr>
              <w:t>62</w:t>
            </w:r>
          </w:p>
        </w:tc>
        <w:tc>
          <w:tcPr>
            <w:tcW w:w="2250" w:type="dxa"/>
            <w:tcBorders>
              <w:top w:val="nil"/>
              <w:left w:val="nil"/>
              <w:bottom w:val="nil"/>
              <w:right w:val="nil"/>
            </w:tcBorders>
            <w:shd w:val="clear" w:color="auto" w:fill="auto"/>
            <w:vAlign w:val="bottom"/>
            <w:hideMark/>
          </w:tcPr>
          <w:p w:rsidR="007753DE" w:rsidRPr="007C08E9" w:rsidRDefault="00C41BF4" w:rsidP="008D0C26">
            <w:pPr>
              <w:pStyle w:val="TableText"/>
              <w:rPr>
                <w:sz w:val="14"/>
                <w:szCs w:val="14"/>
              </w:rPr>
            </w:pPr>
            <w:r>
              <w:rPr>
                <w:sz w:val="14"/>
                <w:szCs w:val="14"/>
              </w:rPr>
              <w:t>There are over 62</w:t>
            </w:r>
            <w:r w:rsidR="007753DE" w:rsidRPr="007C08E9">
              <w:rPr>
                <w:sz w:val="14"/>
                <w:szCs w:val="14"/>
              </w:rPr>
              <w:t xml:space="preserve"> miles of pipe and 14 operating wastewater pump stations within the City of Lynden sewage collection system. The Lynden WWTP is an extended aeration secondary treatment plant that uses oxidation ditches and UV disinfection to treat effluent prior to discharge in the Nooksack River.</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C41BF4" w:rsidP="008D0C26">
            <w:pPr>
              <w:pStyle w:val="TableText"/>
              <w:rPr>
                <w:sz w:val="14"/>
                <w:szCs w:val="14"/>
              </w:rPr>
            </w:pPr>
            <w:r>
              <w:rPr>
                <w:sz w:val="14"/>
                <w:szCs w:val="14"/>
              </w:rPr>
              <w:t>1.11</w:t>
            </w:r>
          </w:p>
        </w:tc>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2.18</w:t>
            </w:r>
          </w:p>
        </w:tc>
        <w:tc>
          <w:tcPr>
            <w:tcW w:w="720" w:type="dxa"/>
            <w:tcBorders>
              <w:top w:val="nil"/>
              <w:left w:val="nil"/>
              <w:bottom w:val="nil"/>
              <w:right w:val="nil"/>
            </w:tcBorders>
            <w:shd w:val="clear" w:color="auto" w:fill="auto"/>
            <w:noWrap/>
            <w:vAlign w:val="center"/>
            <w:hideMark/>
          </w:tcPr>
          <w:p w:rsidR="007753DE" w:rsidRPr="007C08E9" w:rsidRDefault="00C41BF4" w:rsidP="008D0C26">
            <w:pPr>
              <w:pStyle w:val="TableText"/>
              <w:rPr>
                <w:sz w:val="14"/>
                <w:szCs w:val="14"/>
              </w:rPr>
            </w:pPr>
            <w:r>
              <w:rPr>
                <w:sz w:val="14"/>
                <w:szCs w:val="14"/>
              </w:rPr>
              <w:t>1.07</w:t>
            </w:r>
          </w:p>
        </w:tc>
        <w:tc>
          <w:tcPr>
            <w:tcW w:w="36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12,707</w:t>
            </w:r>
          </w:p>
        </w:tc>
        <w:tc>
          <w:tcPr>
            <w:tcW w:w="27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nil"/>
              <w:right w:val="nil"/>
            </w:tcBorders>
            <w:shd w:val="clear" w:color="auto" w:fill="auto"/>
            <w:noWrap/>
            <w:vAlign w:val="bottom"/>
            <w:hideMark/>
          </w:tcPr>
          <w:p w:rsidR="007753DE" w:rsidRPr="007C08E9" w:rsidRDefault="00C54419" w:rsidP="008D0C26">
            <w:pPr>
              <w:pStyle w:val="TableText"/>
              <w:rPr>
                <w:sz w:val="14"/>
                <w:szCs w:val="14"/>
              </w:rPr>
            </w:pPr>
            <w:r w:rsidRPr="00C54419">
              <w:rPr>
                <w:sz w:val="14"/>
                <w:szCs w:val="14"/>
              </w:rPr>
              <w:t>The WWTP discharges to the Nooksack River.</w:t>
            </w:r>
          </w:p>
        </w:tc>
      </w:tr>
      <w:tr w:rsidR="002D786A" w:rsidRPr="007C08E9" w:rsidTr="00886241">
        <w:tc>
          <w:tcPr>
            <w:tcW w:w="810" w:type="dxa"/>
            <w:tcBorders>
              <w:top w:val="nil"/>
              <w:left w:val="nil"/>
              <w:bottom w:val="nil"/>
              <w:right w:val="nil"/>
            </w:tcBorders>
            <w:shd w:val="clear" w:color="auto" w:fill="auto"/>
            <w:noWrap/>
            <w:vAlign w:val="center"/>
            <w:hideMark/>
          </w:tcPr>
          <w:p w:rsidR="00F62810" w:rsidRPr="007C08E9" w:rsidRDefault="007753DE" w:rsidP="008D0C26">
            <w:pPr>
              <w:pStyle w:val="TableText"/>
              <w:rPr>
                <w:sz w:val="14"/>
                <w:szCs w:val="14"/>
              </w:rPr>
            </w:pPr>
            <w:r w:rsidRPr="007C08E9">
              <w:rPr>
                <w:sz w:val="14"/>
                <w:szCs w:val="14"/>
              </w:rPr>
              <w:t>2012</w:t>
            </w:r>
          </w:p>
          <w:p w:rsidR="00F62810" w:rsidRPr="00886241" w:rsidRDefault="00F62810" w:rsidP="008D0C26">
            <w:pPr>
              <w:pStyle w:val="TableText"/>
              <w:rPr>
                <w:sz w:val="12"/>
                <w:szCs w:val="12"/>
              </w:rPr>
            </w:pPr>
            <w:r w:rsidRPr="00886241">
              <w:rPr>
                <w:sz w:val="12"/>
                <w:szCs w:val="12"/>
              </w:rPr>
              <w:t>(Amended in 2016)</w:t>
            </w:r>
          </w:p>
        </w:tc>
        <w:tc>
          <w:tcPr>
            <w:tcW w:w="1440" w:type="dxa"/>
            <w:tcBorders>
              <w:top w:val="nil"/>
              <w:left w:val="nil"/>
              <w:bottom w:val="nil"/>
              <w:right w:val="nil"/>
            </w:tcBorders>
            <w:shd w:val="clear" w:color="auto" w:fill="auto"/>
            <w:noWrap/>
            <w:vAlign w:val="center"/>
            <w:hideMark/>
          </w:tcPr>
          <w:p w:rsidR="007753DE" w:rsidRPr="007C08E9" w:rsidRDefault="007753DE" w:rsidP="00F62810">
            <w:pPr>
              <w:pStyle w:val="TableText"/>
              <w:ind w:right="522"/>
              <w:rPr>
                <w:sz w:val="14"/>
                <w:szCs w:val="14"/>
              </w:rPr>
            </w:pPr>
            <w:r w:rsidRPr="007C08E9">
              <w:rPr>
                <w:sz w:val="14"/>
                <w:szCs w:val="14"/>
              </w:rPr>
              <w:t>City of Nooksack</w:t>
            </w:r>
            <w:r w:rsidR="0070610F">
              <w:rPr>
                <w:sz w:val="14"/>
                <w:szCs w:val="14"/>
                <w:vertAlign w:val="superscript"/>
              </w:rPr>
              <w:t>6</w:t>
            </w:r>
            <w:r w:rsidR="0084292D">
              <w:rPr>
                <w:sz w:val="14"/>
                <w:szCs w:val="14"/>
              </w:rPr>
              <w:t xml:space="preserve"> </w:t>
            </w:r>
          </w:p>
        </w:tc>
        <w:tc>
          <w:tcPr>
            <w:tcW w:w="540" w:type="dxa"/>
            <w:tcBorders>
              <w:top w:val="nil"/>
              <w:left w:val="nil"/>
              <w:bottom w:val="nil"/>
              <w:right w:val="nil"/>
            </w:tcBorders>
            <w:shd w:val="clear" w:color="auto" w:fill="auto"/>
            <w:noWrap/>
            <w:vAlign w:val="center"/>
            <w:hideMark/>
          </w:tcPr>
          <w:p w:rsidR="007753DE" w:rsidRPr="007C08E9" w:rsidRDefault="00F62810" w:rsidP="00F62810">
            <w:pPr>
              <w:pStyle w:val="TableText"/>
              <w:rPr>
                <w:sz w:val="14"/>
                <w:szCs w:val="14"/>
              </w:rPr>
            </w:pPr>
            <w:r w:rsidRPr="007C08E9">
              <w:rPr>
                <w:sz w:val="14"/>
                <w:szCs w:val="14"/>
              </w:rPr>
              <w:t>8</w:t>
            </w:r>
          </w:p>
        </w:tc>
        <w:tc>
          <w:tcPr>
            <w:tcW w:w="2250" w:type="dxa"/>
            <w:tcBorders>
              <w:top w:val="nil"/>
              <w:left w:val="nil"/>
              <w:bottom w:val="nil"/>
              <w:right w:val="nil"/>
            </w:tcBorders>
            <w:shd w:val="clear" w:color="auto" w:fill="auto"/>
            <w:vAlign w:val="bottom"/>
            <w:hideMark/>
          </w:tcPr>
          <w:p w:rsidR="007753DE" w:rsidRPr="007C08E9" w:rsidRDefault="007753DE" w:rsidP="00F62810">
            <w:pPr>
              <w:pStyle w:val="TableText"/>
              <w:rPr>
                <w:sz w:val="14"/>
                <w:szCs w:val="14"/>
              </w:rPr>
            </w:pPr>
            <w:r w:rsidRPr="007C08E9">
              <w:rPr>
                <w:sz w:val="14"/>
                <w:szCs w:val="14"/>
              </w:rPr>
              <w:t xml:space="preserve">The collection system consists of </w:t>
            </w:r>
            <w:r w:rsidR="00F62810" w:rsidRPr="007C08E9">
              <w:rPr>
                <w:sz w:val="14"/>
                <w:szCs w:val="14"/>
              </w:rPr>
              <w:t>almost 8</w:t>
            </w:r>
            <w:r w:rsidR="00C54419">
              <w:rPr>
                <w:sz w:val="14"/>
                <w:szCs w:val="14"/>
              </w:rPr>
              <w:t xml:space="preserve"> miles of gravity and force main pipe, 4</w:t>
            </w:r>
            <w:r w:rsidRPr="007C08E9">
              <w:rPr>
                <w:sz w:val="14"/>
                <w:szCs w:val="14"/>
              </w:rPr>
              <w:t xml:space="preserve"> wastewater pump stations, and </w:t>
            </w:r>
            <w:r w:rsidR="00F62810" w:rsidRPr="007C08E9">
              <w:rPr>
                <w:sz w:val="14"/>
                <w:szCs w:val="14"/>
              </w:rPr>
              <w:t>2</w:t>
            </w:r>
            <w:r w:rsidRPr="007C08E9">
              <w:rPr>
                <w:sz w:val="14"/>
                <w:szCs w:val="14"/>
              </w:rPr>
              <w:t xml:space="preserve"> grinder pumps. The City's sewage is treated at the Ev</w:t>
            </w:r>
            <w:r w:rsidR="00956B49">
              <w:rPr>
                <w:sz w:val="14"/>
                <w:szCs w:val="14"/>
              </w:rPr>
              <w:t>erson WWTP</w:t>
            </w:r>
            <w:r w:rsidRPr="007C08E9">
              <w:rPr>
                <w:sz w:val="14"/>
                <w:szCs w:val="14"/>
              </w:rPr>
              <w:t>.</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84292D" w:rsidRDefault="0084292D" w:rsidP="008D0C26">
            <w:pPr>
              <w:pStyle w:val="TableText"/>
              <w:rPr>
                <w:sz w:val="14"/>
                <w:szCs w:val="14"/>
              </w:rPr>
            </w:pPr>
          </w:p>
          <w:p w:rsidR="00F62810" w:rsidRPr="007C08E9" w:rsidRDefault="009E1C04" w:rsidP="008D0C26">
            <w:pPr>
              <w:pStyle w:val="TableText"/>
              <w:rPr>
                <w:sz w:val="14"/>
                <w:szCs w:val="14"/>
              </w:rPr>
            </w:pPr>
            <w:r>
              <w:rPr>
                <w:sz w:val="14"/>
                <w:szCs w:val="14"/>
              </w:rPr>
              <w:t>0.14</w:t>
            </w:r>
          </w:p>
          <w:p w:rsidR="007753DE" w:rsidRPr="007C08E9" w:rsidRDefault="007753DE" w:rsidP="008D0C26">
            <w:pPr>
              <w:pStyle w:val="TableText"/>
              <w:rPr>
                <w:sz w:val="14"/>
                <w:szCs w:val="14"/>
              </w:rPr>
            </w:pPr>
          </w:p>
        </w:tc>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0.22</w:t>
            </w:r>
          </w:p>
        </w:tc>
        <w:tc>
          <w:tcPr>
            <w:tcW w:w="720" w:type="dxa"/>
            <w:tcBorders>
              <w:top w:val="nil"/>
              <w:left w:val="nil"/>
              <w:bottom w:val="nil"/>
              <w:right w:val="nil"/>
            </w:tcBorders>
            <w:shd w:val="clear" w:color="auto" w:fill="auto"/>
            <w:noWrap/>
            <w:vAlign w:val="center"/>
            <w:hideMark/>
          </w:tcPr>
          <w:p w:rsidR="0084292D" w:rsidRDefault="0084292D" w:rsidP="008D0C26">
            <w:pPr>
              <w:pStyle w:val="TableText"/>
              <w:rPr>
                <w:sz w:val="14"/>
                <w:szCs w:val="14"/>
              </w:rPr>
            </w:pPr>
          </w:p>
          <w:p w:rsidR="00F62810" w:rsidRPr="007C08E9" w:rsidRDefault="009E1C04" w:rsidP="008D0C26">
            <w:pPr>
              <w:pStyle w:val="TableText"/>
              <w:rPr>
                <w:sz w:val="14"/>
                <w:szCs w:val="14"/>
              </w:rPr>
            </w:pPr>
            <w:r>
              <w:rPr>
                <w:sz w:val="14"/>
                <w:szCs w:val="14"/>
              </w:rPr>
              <w:t>0.08</w:t>
            </w:r>
          </w:p>
          <w:p w:rsidR="007753DE" w:rsidRPr="007C08E9" w:rsidRDefault="007753DE" w:rsidP="008D0C26">
            <w:pPr>
              <w:pStyle w:val="TableText"/>
              <w:rPr>
                <w:sz w:val="14"/>
                <w:szCs w:val="14"/>
              </w:rPr>
            </w:pPr>
          </w:p>
        </w:tc>
        <w:tc>
          <w:tcPr>
            <w:tcW w:w="36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1,400</w:t>
            </w:r>
          </w:p>
        </w:tc>
        <w:tc>
          <w:tcPr>
            <w:tcW w:w="27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2009</w:t>
            </w:r>
          </w:p>
        </w:tc>
        <w:tc>
          <w:tcPr>
            <w:tcW w:w="1440" w:type="dxa"/>
            <w:tcBorders>
              <w:top w:val="nil"/>
              <w:left w:val="nil"/>
              <w:bottom w:val="nil"/>
              <w:right w:val="nil"/>
            </w:tcBorders>
            <w:shd w:val="clear" w:color="auto" w:fill="auto"/>
            <w:noWrap/>
            <w:vAlign w:val="center"/>
            <w:hideMark/>
          </w:tcPr>
          <w:p w:rsidR="007753DE" w:rsidRPr="007C08E9" w:rsidRDefault="007753DE" w:rsidP="00BA7955">
            <w:pPr>
              <w:pStyle w:val="TableText"/>
              <w:rPr>
                <w:sz w:val="14"/>
                <w:szCs w:val="14"/>
              </w:rPr>
            </w:pPr>
            <w:r w:rsidRPr="007C08E9">
              <w:rPr>
                <w:sz w:val="14"/>
                <w:szCs w:val="14"/>
              </w:rPr>
              <w:t xml:space="preserve">City of Sumas </w:t>
            </w:r>
          </w:p>
        </w:tc>
        <w:tc>
          <w:tcPr>
            <w:tcW w:w="5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10</w:t>
            </w:r>
          </w:p>
        </w:tc>
        <w:tc>
          <w:tcPr>
            <w:tcW w:w="2250" w:type="dxa"/>
            <w:tcBorders>
              <w:top w:val="nil"/>
              <w:left w:val="nil"/>
              <w:bottom w:val="nil"/>
              <w:right w:val="nil"/>
            </w:tcBorders>
            <w:shd w:val="clear" w:color="auto" w:fill="auto"/>
            <w:vAlign w:val="bottom"/>
            <w:hideMark/>
          </w:tcPr>
          <w:p w:rsidR="007753DE" w:rsidRPr="007C08E9" w:rsidRDefault="007753DE" w:rsidP="008D0C26">
            <w:pPr>
              <w:pStyle w:val="TableText"/>
              <w:rPr>
                <w:sz w:val="14"/>
                <w:szCs w:val="14"/>
              </w:rPr>
            </w:pPr>
            <w:r w:rsidRPr="007C08E9">
              <w:rPr>
                <w:sz w:val="14"/>
                <w:szCs w:val="14"/>
              </w:rPr>
              <w:t xml:space="preserve">The City of Sumas contracts with the City of Abbotsford, Canada for sewer service. Sumas sewage flows account for less than 2% of the volume received by the JAMES Treatment Plant in Abbotsford. The City contract allows for a </w:t>
            </w:r>
            <w:r w:rsidRPr="007C08E9">
              <w:rPr>
                <w:sz w:val="14"/>
                <w:szCs w:val="14"/>
              </w:rPr>
              <w:lastRenderedPageBreak/>
              <w:t>maximum treatment of 0.4 mgd.</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0.2</w:t>
            </w:r>
            <w:r w:rsidR="00956B49">
              <w:rPr>
                <w:sz w:val="14"/>
                <w:szCs w:val="14"/>
              </w:rPr>
              <w:t>2</w:t>
            </w:r>
            <w:r w:rsidRPr="007C08E9">
              <w:rPr>
                <w:sz w:val="14"/>
                <w:szCs w:val="14"/>
              </w:rPr>
              <w:t>7</w:t>
            </w:r>
          </w:p>
        </w:tc>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0.4</w:t>
            </w:r>
            <w:r w:rsidR="00A008D6">
              <w:rPr>
                <w:sz w:val="14"/>
                <w:szCs w:val="14"/>
              </w:rPr>
              <w:t>00</w:t>
            </w:r>
          </w:p>
        </w:tc>
        <w:tc>
          <w:tcPr>
            <w:tcW w:w="72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0.1</w:t>
            </w:r>
            <w:r w:rsidR="00956B49">
              <w:rPr>
                <w:sz w:val="14"/>
                <w:szCs w:val="14"/>
              </w:rPr>
              <w:t>7</w:t>
            </w:r>
            <w:r w:rsidRPr="007C08E9">
              <w:rPr>
                <w:sz w:val="14"/>
                <w:szCs w:val="14"/>
              </w:rPr>
              <w:t>3</w:t>
            </w:r>
          </w:p>
        </w:tc>
        <w:tc>
          <w:tcPr>
            <w:tcW w:w="36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1,448</w:t>
            </w:r>
          </w:p>
        </w:tc>
        <w:tc>
          <w:tcPr>
            <w:tcW w:w="27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nil"/>
              <w:right w:val="nil"/>
            </w:tcBorders>
            <w:shd w:val="clear" w:color="auto" w:fill="auto"/>
            <w:vAlign w:val="center"/>
            <w:hideMark/>
          </w:tcPr>
          <w:p w:rsidR="007753DE" w:rsidRPr="007C08E9" w:rsidRDefault="007753DE" w:rsidP="008D0C26">
            <w:pPr>
              <w:pStyle w:val="TableText"/>
              <w:rPr>
                <w:sz w:val="14"/>
                <w:szCs w:val="14"/>
              </w:rPr>
            </w:pPr>
            <w:r w:rsidRPr="007C08E9">
              <w:rPr>
                <w:sz w:val="14"/>
                <w:szCs w:val="14"/>
              </w:rPr>
              <w:t>Plan date listed is the date of the agreement with the City of Abbotsford, British Columbia which goes through 2028.</w:t>
            </w:r>
            <w:r w:rsidR="00956B49">
              <w:rPr>
                <w:sz w:val="14"/>
                <w:szCs w:val="14"/>
              </w:rPr>
              <w:t xml:space="preserve"> Approximately 0.110 mgd of the existing flow is generated by a single </w:t>
            </w:r>
            <w:r w:rsidR="00956B49">
              <w:rPr>
                <w:sz w:val="14"/>
                <w:szCs w:val="14"/>
              </w:rPr>
              <w:lastRenderedPageBreak/>
              <w:t>industrial user, the PSE cogeneration plant.</w:t>
            </w:r>
          </w:p>
        </w:tc>
      </w:tr>
      <w:tr w:rsidR="002D786A" w:rsidRPr="007C08E9" w:rsidTr="00886241">
        <w:tc>
          <w:tcPr>
            <w:tcW w:w="81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lastRenderedPageBreak/>
              <w:t>2014</w:t>
            </w:r>
          </w:p>
        </w:tc>
        <w:tc>
          <w:tcPr>
            <w:tcW w:w="1440" w:type="dxa"/>
            <w:tcBorders>
              <w:top w:val="nil"/>
              <w:left w:val="nil"/>
              <w:bottom w:val="nil"/>
              <w:right w:val="nil"/>
            </w:tcBorders>
            <w:shd w:val="clear" w:color="auto" w:fill="auto"/>
            <w:vAlign w:val="center"/>
            <w:hideMark/>
          </w:tcPr>
          <w:p w:rsidR="007753DE" w:rsidRPr="007C08E9" w:rsidRDefault="007753DE" w:rsidP="008D0C26">
            <w:pPr>
              <w:pStyle w:val="TableText"/>
              <w:rPr>
                <w:sz w:val="14"/>
                <w:szCs w:val="14"/>
              </w:rPr>
            </w:pPr>
            <w:r w:rsidRPr="007C08E9">
              <w:rPr>
                <w:sz w:val="14"/>
                <w:szCs w:val="14"/>
              </w:rPr>
              <w:t>Lake Whatcom Wate</w:t>
            </w:r>
            <w:r w:rsidR="00F91CFC">
              <w:rPr>
                <w:sz w:val="14"/>
                <w:szCs w:val="14"/>
              </w:rPr>
              <w:t>r and Sewer District</w:t>
            </w:r>
          </w:p>
        </w:tc>
        <w:tc>
          <w:tcPr>
            <w:tcW w:w="54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82</w:t>
            </w:r>
          </w:p>
        </w:tc>
        <w:tc>
          <w:tcPr>
            <w:tcW w:w="2250" w:type="dxa"/>
            <w:tcBorders>
              <w:top w:val="nil"/>
              <w:left w:val="nil"/>
              <w:bottom w:val="nil"/>
              <w:right w:val="nil"/>
            </w:tcBorders>
            <w:shd w:val="clear" w:color="auto" w:fill="auto"/>
            <w:vAlign w:val="bottom"/>
            <w:hideMark/>
          </w:tcPr>
          <w:p w:rsidR="007753DE" w:rsidRPr="007C08E9" w:rsidRDefault="00F91CFC" w:rsidP="00B91651">
            <w:pPr>
              <w:pStyle w:val="TableText"/>
              <w:rPr>
                <w:sz w:val="14"/>
                <w:szCs w:val="14"/>
              </w:rPr>
            </w:pPr>
            <w:r>
              <w:rPr>
                <w:sz w:val="14"/>
                <w:szCs w:val="14"/>
              </w:rPr>
              <w:t xml:space="preserve">The District </w:t>
            </w:r>
            <w:r w:rsidR="007753DE" w:rsidRPr="007C08E9">
              <w:rPr>
                <w:sz w:val="14"/>
                <w:szCs w:val="14"/>
              </w:rPr>
              <w:t>does not have a sewage treatment plant</w:t>
            </w:r>
            <w:r w:rsidR="00B91651">
              <w:rPr>
                <w:sz w:val="14"/>
                <w:szCs w:val="14"/>
              </w:rPr>
              <w:t>.  The District</w:t>
            </w:r>
            <w:r w:rsidR="007753DE" w:rsidRPr="007C08E9">
              <w:rPr>
                <w:sz w:val="14"/>
                <w:szCs w:val="14"/>
              </w:rPr>
              <w:t xml:space="preserve"> contracts with the C</w:t>
            </w:r>
            <w:r>
              <w:rPr>
                <w:sz w:val="14"/>
                <w:szCs w:val="14"/>
              </w:rPr>
              <w:t>ity of Bellingham to treat</w:t>
            </w:r>
            <w:r w:rsidR="007753DE" w:rsidRPr="007C08E9">
              <w:rPr>
                <w:sz w:val="14"/>
                <w:szCs w:val="14"/>
              </w:rPr>
              <w:t xml:space="preserve"> and dispose of d</w:t>
            </w:r>
            <w:r w:rsidR="00B91651">
              <w:rPr>
                <w:sz w:val="14"/>
                <w:szCs w:val="14"/>
              </w:rPr>
              <w:t>omestic sewage</w:t>
            </w:r>
            <w:r w:rsidR="007753DE" w:rsidRPr="007C08E9">
              <w:rPr>
                <w:sz w:val="14"/>
                <w:szCs w:val="14"/>
              </w:rPr>
              <w:t>. The District operates and maintains gravity and pressure sewer lines and 27 sewage pump stations</w:t>
            </w:r>
            <w:r>
              <w:rPr>
                <w:sz w:val="14"/>
                <w:szCs w:val="14"/>
              </w:rPr>
              <w:t>.</w:t>
            </w:r>
          </w:p>
        </w:tc>
        <w:tc>
          <w:tcPr>
            <w:tcW w:w="27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F91CFC" w:rsidP="008D0C26">
            <w:pPr>
              <w:pStyle w:val="TableText"/>
              <w:rPr>
                <w:sz w:val="14"/>
                <w:szCs w:val="14"/>
              </w:rPr>
            </w:pPr>
            <w:r>
              <w:rPr>
                <w:sz w:val="14"/>
                <w:szCs w:val="14"/>
              </w:rPr>
              <w:t>0.828</w:t>
            </w:r>
          </w:p>
        </w:tc>
        <w:tc>
          <w:tcPr>
            <w:tcW w:w="810" w:type="dxa"/>
            <w:tcBorders>
              <w:top w:val="nil"/>
              <w:left w:val="nil"/>
              <w:bottom w:val="nil"/>
              <w:right w:val="nil"/>
            </w:tcBorders>
            <w:shd w:val="clear" w:color="auto" w:fill="auto"/>
            <w:noWrap/>
            <w:vAlign w:val="center"/>
            <w:hideMark/>
          </w:tcPr>
          <w:p w:rsidR="007753DE" w:rsidRPr="007C08E9" w:rsidRDefault="00C53147" w:rsidP="008D0C26">
            <w:pPr>
              <w:pStyle w:val="TableText"/>
              <w:rPr>
                <w:sz w:val="14"/>
                <w:szCs w:val="14"/>
              </w:rPr>
            </w:pPr>
            <w:r>
              <w:rPr>
                <w:sz w:val="14"/>
                <w:szCs w:val="14"/>
              </w:rPr>
              <w:t>1.382</w:t>
            </w:r>
            <w:r w:rsidR="0070610F">
              <w:rPr>
                <w:sz w:val="14"/>
                <w:szCs w:val="14"/>
                <w:vertAlign w:val="superscript"/>
              </w:rPr>
              <w:t>7</w:t>
            </w:r>
          </w:p>
        </w:tc>
        <w:tc>
          <w:tcPr>
            <w:tcW w:w="720" w:type="dxa"/>
            <w:tcBorders>
              <w:top w:val="nil"/>
              <w:left w:val="nil"/>
              <w:bottom w:val="nil"/>
              <w:right w:val="nil"/>
            </w:tcBorders>
            <w:shd w:val="clear" w:color="auto" w:fill="auto"/>
            <w:noWrap/>
            <w:vAlign w:val="center"/>
            <w:hideMark/>
          </w:tcPr>
          <w:p w:rsidR="007753DE" w:rsidRPr="007C08E9" w:rsidRDefault="00C53147" w:rsidP="008D0C26">
            <w:pPr>
              <w:pStyle w:val="TableText"/>
              <w:rPr>
                <w:sz w:val="14"/>
                <w:szCs w:val="14"/>
              </w:rPr>
            </w:pPr>
            <w:r>
              <w:rPr>
                <w:sz w:val="14"/>
                <w:szCs w:val="14"/>
              </w:rPr>
              <w:t>0.544</w:t>
            </w:r>
          </w:p>
        </w:tc>
        <w:tc>
          <w:tcPr>
            <w:tcW w:w="360" w:type="dxa"/>
            <w:tcBorders>
              <w:top w:val="nil"/>
              <w:left w:val="nil"/>
              <w:bottom w:val="nil"/>
              <w:right w:val="nil"/>
            </w:tcBorders>
            <w:shd w:val="clear" w:color="auto" w:fill="auto"/>
            <w:noWrap/>
            <w:vAlign w:val="bottom"/>
            <w:hideMark/>
          </w:tcPr>
          <w:p w:rsidR="007753DE" w:rsidRPr="007C08E9" w:rsidRDefault="007753DE" w:rsidP="008D0C26">
            <w:pPr>
              <w:pStyle w:val="TableText"/>
              <w:rPr>
                <w:sz w:val="14"/>
                <w:szCs w:val="14"/>
              </w:rPr>
            </w:pPr>
          </w:p>
        </w:tc>
        <w:tc>
          <w:tcPr>
            <w:tcW w:w="900" w:type="dxa"/>
            <w:tcBorders>
              <w:top w:val="nil"/>
              <w:left w:val="nil"/>
              <w:bottom w:val="nil"/>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10,389</w:t>
            </w:r>
          </w:p>
        </w:tc>
        <w:tc>
          <w:tcPr>
            <w:tcW w:w="270" w:type="dxa"/>
            <w:tcBorders>
              <w:top w:val="nil"/>
              <w:left w:val="nil"/>
              <w:bottom w:val="nil"/>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nil"/>
              <w:right w:val="nil"/>
            </w:tcBorders>
            <w:shd w:val="clear" w:color="auto" w:fill="auto"/>
            <w:vAlign w:val="center"/>
            <w:hideMark/>
          </w:tcPr>
          <w:p w:rsidR="007753DE" w:rsidRPr="007C08E9" w:rsidRDefault="00F91CFC" w:rsidP="00F91CFC">
            <w:pPr>
              <w:pStyle w:val="TableText"/>
              <w:rPr>
                <w:sz w:val="14"/>
                <w:szCs w:val="14"/>
              </w:rPr>
            </w:pPr>
            <w:r>
              <w:rPr>
                <w:sz w:val="14"/>
                <w:szCs w:val="14"/>
              </w:rPr>
              <w:t>The 2014 agreement between the District</w:t>
            </w:r>
            <w:r w:rsidR="007753DE" w:rsidRPr="007C08E9">
              <w:rPr>
                <w:sz w:val="14"/>
                <w:szCs w:val="14"/>
              </w:rPr>
              <w:t xml:space="preserve"> and the City of Bellingham is for maximum peak instantaneous flows of up to 2,400 gallons per minute. </w:t>
            </w:r>
          </w:p>
        </w:tc>
      </w:tr>
      <w:tr w:rsidR="002D786A" w:rsidRPr="007C08E9" w:rsidTr="00886241">
        <w:tc>
          <w:tcPr>
            <w:tcW w:w="810" w:type="dxa"/>
            <w:tcBorders>
              <w:top w:val="nil"/>
              <w:left w:val="nil"/>
              <w:bottom w:val="single" w:sz="12" w:space="0" w:color="auto"/>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2012</w:t>
            </w:r>
          </w:p>
        </w:tc>
        <w:tc>
          <w:tcPr>
            <w:tcW w:w="1440" w:type="dxa"/>
            <w:tcBorders>
              <w:top w:val="nil"/>
              <w:left w:val="nil"/>
              <w:bottom w:val="single" w:sz="12" w:space="0" w:color="auto"/>
              <w:right w:val="nil"/>
            </w:tcBorders>
            <w:shd w:val="clear" w:color="auto" w:fill="auto"/>
            <w:noWrap/>
            <w:vAlign w:val="center"/>
            <w:hideMark/>
          </w:tcPr>
          <w:p w:rsidR="007753DE" w:rsidRPr="007C08E9" w:rsidRDefault="009E1C04" w:rsidP="008D0C26">
            <w:pPr>
              <w:pStyle w:val="TableText"/>
              <w:rPr>
                <w:sz w:val="14"/>
                <w:szCs w:val="14"/>
              </w:rPr>
            </w:pPr>
            <w:r>
              <w:rPr>
                <w:sz w:val="14"/>
                <w:szCs w:val="14"/>
              </w:rPr>
              <w:t>Water District 13</w:t>
            </w:r>
          </w:p>
        </w:tc>
        <w:tc>
          <w:tcPr>
            <w:tcW w:w="540" w:type="dxa"/>
            <w:tcBorders>
              <w:top w:val="nil"/>
              <w:left w:val="nil"/>
              <w:bottom w:val="single" w:sz="12" w:space="0" w:color="auto"/>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4</w:t>
            </w:r>
          </w:p>
        </w:tc>
        <w:tc>
          <w:tcPr>
            <w:tcW w:w="2250" w:type="dxa"/>
            <w:tcBorders>
              <w:top w:val="nil"/>
              <w:left w:val="nil"/>
              <w:bottom w:val="single" w:sz="12" w:space="0" w:color="auto"/>
              <w:right w:val="nil"/>
            </w:tcBorders>
            <w:shd w:val="clear" w:color="auto" w:fill="auto"/>
            <w:vAlign w:val="center"/>
            <w:hideMark/>
          </w:tcPr>
          <w:p w:rsidR="007753DE" w:rsidRPr="007C08E9" w:rsidRDefault="007753DE" w:rsidP="008D0C26">
            <w:pPr>
              <w:pStyle w:val="TableText"/>
              <w:rPr>
                <w:sz w:val="14"/>
                <w:szCs w:val="14"/>
              </w:rPr>
            </w:pPr>
            <w:r w:rsidRPr="007C08E9">
              <w:rPr>
                <w:sz w:val="14"/>
                <w:szCs w:val="14"/>
              </w:rPr>
              <w:t>Water District 13 owns, operates, and maintains a domestic wastew</w:t>
            </w:r>
            <w:r w:rsidR="007269DE">
              <w:rPr>
                <w:sz w:val="14"/>
                <w:szCs w:val="14"/>
              </w:rPr>
              <w:t xml:space="preserve">ater collection </w:t>
            </w:r>
            <w:r w:rsidRPr="007C08E9">
              <w:rPr>
                <w:sz w:val="14"/>
                <w:szCs w:val="14"/>
              </w:rPr>
              <w:t>system consisting of two pump stations, approximately 4 miles of pipe, a wastewater t</w:t>
            </w:r>
            <w:r w:rsidR="007269DE">
              <w:rPr>
                <w:sz w:val="14"/>
                <w:szCs w:val="14"/>
              </w:rPr>
              <w:t>reatment plant, and a force</w:t>
            </w:r>
            <w:r w:rsidRPr="007C08E9">
              <w:rPr>
                <w:sz w:val="14"/>
                <w:szCs w:val="14"/>
              </w:rPr>
              <w:t xml:space="preserve"> main </w:t>
            </w:r>
            <w:r w:rsidR="007269DE">
              <w:rPr>
                <w:sz w:val="14"/>
                <w:szCs w:val="14"/>
              </w:rPr>
              <w:t>that transfers flows from the treatment plan</w:t>
            </w:r>
            <w:r w:rsidR="00607308">
              <w:rPr>
                <w:sz w:val="14"/>
                <w:szCs w:val="14"/>
              </w:rPr>
              <w:t xml:space="preserve">t </w:t>
            </w:r>
            <w:r w:rsidR="007269DE">
              <w:rPr>
                <w:sz w:val="14"/>
                <w:szCs w:val="14"/>
              </w:rPr>
              <w:t>to the</w:t>
            </w:r>
            <w:r w:rsidRPr="007C08E9">
              <w:rPr>
                <w:sz w:val="14"/>
                <w:szCs w:val="14"/>
              </w:rPr>
              <w:t xml:space="preserve"> drainfield.</w:t>
            </w:r>
          </w:p>
        </w:tc>
        <w:tc>
          <w:tcPr>
            <w:tcW w:w="270" w:type="dxa"/>
            <w:tcBorders>
              <w:top w:val="nil"/>
              <w:left w:val="nil"/>
              <w:bottom w:val="single" w:sz="12" w:space="0" w:color="auto"/>
              <w:right w:val="nil"/>
            </w:tcBorders>
            <w:shd w:val="clear" w:color="auto" w:fill="auto"/>
            <w:noWrap/>
            <w:vAlign w:val="bottom"/>
            <w:hideMark/>
          </w:tcPr>
          <w:p w:rsidR="007753DE" w:rsidRPr="007C08E9" w:rsidRDefault="007753DE" w:rsidP="008D0C26">
            <w:pPr>
              <w:pStyle w:val="TableText"/>
              <w:rPr>
                <w:sz w:val="14"/>
                <w:szCs w:val="14"/>
              </w:rPr>
            </w:pPr>
            <w:r w:rsidRPr="007C08E9">
              <w:rPr>
                <w:sz w:val="14"/>
                <w:szCs w:val="14"/>
              </w:rPr>
              <w:t> </w:t>
            </w:r>
          </w:p>
        </w:tc>
        <w:tc>
          <w:tcPr>
            <w:tcW w:w="900" w:type="dxa"/>
            <w:tcBorders>
              <w:top w:val="nil"/>
              <w:left w:val="nil"/>
              <w:bottom w:val="single" w:sz="12" w:space="0" w:color="auto"/>
              <w:right w:val="nil"/>
            </w:tcBorders>
            <w:shd w:val="clear" w:color="auto" w:fill="auto"/>
            <w:noWrap/>
            <w:vAlign w:val="center"/>
            <w:hideMark/>
          </w:tcPr>
          <w:p w:rsidR="007753DE" w:rsidRPr="007C08E9" w:rsidRDefault="007269DE" w:rsidP="008D0C26">
            <w:pPr>
              <w:pStyle w:val="TableText"/>
              <w:rPr>
                <w:sz w:val="14"/>
                <w:szCs w:val="14"/>
              </w:rPr>
            </w:pPr>
            <w:r>
              <w:rPr>
                <w:sz w:val="14"/>
                <w:szCs w:val="14"/>
              </w:rPr>
              <w:t>0.06</w:t>
            </w:r>
            <w:r w:rsidR="007753DE" w:rsidRPr="007C08E9">
              <w:rPr>
                <w:sz w:val="14"/>
                <w:szCs w:val="14"/>
              </w:rPr>
              <w:t>2</w:t>
            </w:r>
          </w:p>
        </w:tc>
        <w:tc>
          <w:tcPr>
            <w:tcW w:w="810" w:type="dxa"/>
            <w:tcBorders>
              <w:top w:val="nil"/>
              <w:left w:val="nil"/>
              <w:bottom w:val="single" w:sz="12" w:space="0" w:color="auto"/>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0.125</w:t>
            </w:r>
          </w:p>
        </w:tc>
        <w:tc>
          <w:tcPr>
            <w:tcW w:w="720" w:type="dxa"/>
            <w:tcBorders>
              <w:top w:val="nil"/>
              <w:left w:val="nil"/>
              <w:bottom w:val="single" w:sz="12" w:space="0" w:color="auto"/>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0.0</w:t>
            </w:r>
            <w:r w:rsidR="007269DE">
              <w:rPr>
                <w:sz w:val="14"/>
                <w:szCs w:val="14"/>
              </w:rPr>
              <w:t>6</w:t>
            </w:r>
            <w:r w:rsidRPr="007C08E9">
              <w:rPr>
                <w:sz w:val="14"/>
                <w:szCs w:val="14"/>
              </w:rPr>
              <w:t>3</w:t>
            </w:r>
          </w:p>
        </w:tc>
        <w:tc>
          <w:tcPr>
            <w:tcW w:w="360" w:type="dxa"/>
            <w:tcBorders>
              <w:top w:val="nil"/>
              <w:left w:val="nil"/>
              <w:bottom w:val="single" w:sz="12" w:space="0" w:color="auto"/>
              <w:right w:val="nil"/>
            </w:tcBorders>
            <w:shd w:val="clear" w:color="auto" w:fill="auto"/>
            <w:noWrap/>
            <w:vAlign w:val="bottom"/>
            <w:hideMark/>
          </w:tcPr>
          <w:p w:rsidR="007753DE" w:rsidRPr="007C08E9" w:rsidRDefault="007753DE" w:rsidP="008D0C26">
            <w:pPr>
              <w:pStyle w:val="TableText"/>
              <w:rPr>
                <w:sz w:val="14"/>
                <w:szCs w:val="14"/>
              </w:rPr>
            </w:pPr>
            <w:r w:rsidRPr="007C08E9">
              <w:rPr>
                <w:sz w:val="14"/>
                <w:szCs w:val="14"/>
              </w:rPr>
              <w:t> </w:t>
            </w:r>
          </w:p>
        </w:tc>
        <w:tc>
          <w:tcPr>
            <w:tcW w:w="900" w:type="dxa"/>
            <w:tcBorders>
              <w:top w:val="nil"/>
              <w:left w:val="nil"/>
              <w:bottom w:val="single" w:sz="12" w:space="0" w:color="auto"/>
              <w:right w:val="nil"/>
            </w:tcBorders>
            <w:shd w:val="clear" w:color="auto" w:fill="auto"/>
            <w:noWrap/>
            <w:vAlign w:val="center"/>
            <w:hideMark/>
          </w:tcPr>
          <w:p w:rsidR="007753DE" w:rsidRPr="007C08E9" w:rsidRDefault="007753DE" w:rsidP="008D0C26">
            <w:pPr>
              <w:pStyle w:val="TableText"/>
              <w:rPr>
                <w:sz w:val="14"/>
                <w:szCs w:val="14"/>
              </w:rPr>
            </w:pPr>
            <w:r w:rsidRPr="007C08E9">
              <w:rPr>
                <w:sz w:val="14"/>
                <w:szCs w:val="14"/>
              </w:rPr>
              <w:t>790</w:t>
            </w:r>
          </w:p>
        </w:tc>
        <w:tc>
          <w:tcPr>
            <w:tcW w:w="270" w:type="dxa"/>
            <w:tcBorders>
              <w:top w:val="nil"/>
              <w:left w:val="nil"/>
              <w:bottom w:val="single" w:sz="12" w:space="0" w:color="auto"/>
              <w:right w:val="nil"/>
            </w:tcBorders>
            <w:shd w:val="clear" w:color="auto" w:fill="auto"/>
            <w:noWrap/>
            <w:vAlign w:val="center"/>
          </w:tcPr>
          <w:p w:rsidR="007753DE" w:rsidRPr="007C08E9" w:rsidRDefault="007753DE" w:rsidP="008D0C26">
            <w:pPr>
              <w:pStyle w:val="TableText"/>
              <w:rPr>
                <w:sz w:val="14"/>
                <w:szCs w:val="14"/>
              </w:rPr>
            </w:pPr>
          </w:p>
        </w:tc>
        <w:tc>
          <w:tcPr>
            <w:tcW w:w="1980" w:type="dxa"/>
            <w:tcBorders>
              <w:top w:val="nil"/>
              <w:left w:val="nil"/>
              <w:bottom w:val="single" w:sz="12" w:space="0" w:color="auto"/>
              <w:right w:val="nil"/>
            </w:tcBorders>
            <w:shd w:val="clear" w:color="auto" w:fill="auto"/>
            <w:noWrap/>
            <w:vAlign w:val="bottom"/>
            <w:hideMark/>
          </w:tcPr>
          <w:p w:rsidR="007753DE" w:rsidRPr="007C08E9" w:rsidRDefault="007753DE" w:rsidP="008D0C26">
            <w:pPr>
              <w:pStyle w:val="TableText"/>
              <w:rPr>
                <w:sz w:val="14"/>
                <w:szCs w:val="14"/>
              </w:rPr>
            </w:pPr>
            <w:r w:rsidRPr="007C08E9">
              <w:rPr>
                <w:sz w:val="14"/>
                <w:szCs w:val="14"/>
              </w:rPr>
              <w:t> </w:t>
            </w:r>
          </w:p>
        </w:tc>
      </w:tr>
    </w:tbl>
    <w:p w:rsidR="0084292D" w:rsidRPr="004774A8" w:rsidRDefault="0067430B" w:rsidP="004774A8">
      <w:pPr>
        <w:suppressAutoHyphens/>
        <w:spacing w:before="0" w:after="120" w:line="240" w:lineRule="exact"/>
        <w:ind w:left="180" w:hanging="180"/>
        <w:rPr>
          <w:rFonts w:ascii="Calibri" w:eastAsia="Calibri" w:hAnsi="Calibri"/>
          <w:i/>
          <w:sz w:val="18"/>
          <w:szCs w:val="18"/>
        </w:rPr>
      </w:pPr>
      <w:r w:rsidRPr="0067430B">
        <w:rPr>
          <w:rFonts w:ascii="Calibri" w:eastAsia="Calibri" w:hAnsi="Calibri"/>
          <w:sz w:val="18"/>
          <w:szCs w:val="18"/>
        </w:rPr>
        <w:t xml:space="preserve">1. </w:t>
      </w:r>
      <w:r w:rsidR="0093073C">
        <w:rPr>
          <w:rFonts w:ascii="Calibri" w:eastAsia="Calibri" w:hAnsi="Calibri"/>
          <w:sz w:val="18"/>
          <w:szCs w:val="18"/>
        </w:rPr>
        <w:t>The information in this table is from the</w:t>
      </w:r>
      <w:r w:rsidR="0084292D" w:rsidRPr="0084292D">
        <w:rPr>
          <w:rFonts w:ascii="Calibri" w:eastAsia="Calibri" w:hAnsi="Calibri"/>
          <w:sz w:val="18"/>
          <w:szCs w:val="18"/>
        </w:rPr>
        <w:t xml:space="preserve"> </w:t>
      </w:r>
      <w:r w:rsidR="0084292D" w:rsidRPr="00C44D6A">
        <w:rPr>
          <w:rFonts w:ascii="Calibri" w:eastAsia="Calibri" w:hAnsi="Calibri"/>
          <w:i/>
          <w:sz w:val="18"/>
          <w:szCs w:val="18"/>
        </w:rPr>
        <w:t>Draft EIS Whatcom County 2016 Comprehensive Plan and Development Regulations Update and Urban Growth Area Review</w:t>
      </w:r>
      <w:r w:rsidR="0084292D">
        <w:rPr>
          <w:rFonts w:ascii="Calibri" w:eastAsia="Calibri" w:hAnsi="Calibri"/>
          <w:sz w:val="18"/>
          <w:szCs w:val="18"/>
        </w:rPr>
        <w:t xml:space="preserve"> (March 2015, p. 4-241)</w:t>
      </w:r>
      <w:r w:rsidR="009E1C04">
        <w:rPr>
          <w:rFonts w:ascii="Calibri" w:eastAsia="Calibri" w:hAnsi="Calibri"/>
          <w:sz w:val="18"/>
          <w:szCs w:val="18"/>
        </w:rPr>
        <w:t xml:space="preserve">, the </w:t>
      </w:r>
      <w:r w:rsidR="009E1C04" w:rsidRPr="00C44D6A">
        <w:rPr>
          <w:rFonts w:ascii="Calibri" w:eastAsia="Calibri" w:hAnsi="Calibri"/>
          <w:i/>
          <w:sz w:val="18"/>
          <w:szCs w:val="18"/>
        </w:rPr>
        <w:t>Final</w:t>
      </w:r>
      <w:r w:rsidR="00193878" w:rsidRPr="00C44D6A">
        <w:rPr>
          <w:rFonts w:ascii="Calibri" w:eastAsia="Calibri" w:hAnsi="Calibri"/>
          <w:i/>
          <w:sz w:val="18"/>
          <w:szCs w:val="18"/>
        </w:rPr>
        <w:t xml:space="preserve"> EIS</w:t>
      </w:r>
      <w:r w:rsidR="009E1C04" w:rsidRPr="00C44D6A">
        <w:rPr>
          <w:rFonts w:ascii="Calibri" w:eastAsia="Calibri" w:hAnsi="Calibri"/>
          <w:i/>
          <w:sz w:val="18"/>
          <w:szCs w:val="18"/>
        </w:rPr>
        <w:t xml:space="preserve"> Whatcom County 2016 Comprehensive Plan and Development Regulations Update and Urban Growth Area Review</w:t>
      </w:r>
      <w:r w:rsidR="009E1C04">
        <w:rPr>
          <w:rFonts w:ascii="Calibri" w:eastAsia="Calibri" w:hAnsi="Calibri"/>
          <w:sz w:val="18"/>
          <w:szCs w:val="18"/>
        </w:rPr>
        <w:t xml:space="preserve"> (November 2015, Appendix E</w:t>
      </w:r>
      <w:r w:rsidR="009E1C04" w:rsidRPr="009E1C04">
        <w:rPr>
          <w:rFonts w:ascii="Calibri" w:eastAsia="Calibri" w:hAnsi="Calibri"/>
          <w:sz w:val="18"/>
          <w:szCs w:val="18"/>
        </w:rPr>
        <w:t>)</w:t>
      </w:r>
      <w:r w:rsidR="009E1C04">
        <w:rPr>
          <w:rFonts w:ascii="Calibri" w:eastAsia="Calibri" w:hAnsi="Calibri"/>
          <w:sz w:val="18"/>
          <w:szCs w:val="18"/>
        </w:rPr>
        <w:t>,</w:t>
      </w:r>
      <w:r w:rsidR="0084292D">
        <w:rPr>
          <w:rFonts w:ascii="Calibri" w:eastAsia="Calibri" w:hAnsi="Calibri"/>
          <w:sz w:val="18"/>
          <w:szCs w:val="18"/>
        </w:rPr>
        <w:t xml:space="preserve"> and individual sewer plans. </w:t>
      </w:r>
    </w:p>
    <w:p w:rsidR="0070610F" w:rsidRDefault="0084292D" w:rsidP="0084292D">
      <w:pPr>
        <w:suppressAutoHyphens/>
        <w:spacing w:before="0" w:after="120" w:line="240" w:lineRule="exact"/>
        <w:ind w:left="180" w:hanging="180"/>
        <w:rPr>
          <w:rFonts w:ascii="Calibri" w:eastAsia="Calibri" w:hAnsi="Calibri"/>
          <w:sz w:val="18"/>
          <w:szCs w:val="18"/>
        </w:rPr>
      </w:pPr>
      <w:r>
        <w:rPr>
          <w:rFonts w:ascii="Calibri" w:eastAsia="Calibri" w:hAnsi="Calibri"/>
          <w:sz w:val="18"/>
          <w:szCs w:val="18"/>
        </w:rPr>
        <w:t>2.</w:t>
      </w:r>
      <w:r>
        <w:rPr>
          <w:rFonts w:ascii="Calibri" w:eastAsia="Calibri" w:hAnsi="Calibri"/>
          <w:sz w:val="18"/>
          <w:szCs w:val="18"/>
        </w:rPr>
        <w:tab/>
      </w:r>
      <w:r w:rsidR="0070610F">
        <w:rPr>
          <w:rFonts w:ascii="Calibri" w:eastAsia="Calibri" w:hAnsi="Calibri"/>
          <w:sz w:val="18"/>
          <w:szCs w:val="18"/>
        </w:rPr>
        <w:t>Permitted capacity subject to compl</w:t>
      </w:r>
      <w:r w:rsidR="0046365D">
        <w:rPr>
          <w:rFonts w:ascii="Calibri" w:eastAsia="Calibri" w:hAnsi="Calibri"/>
          <w:sz w:val="18"/>
          <w:szCs w:val="18"/>
        </w:rPr>
        <w:t>etion of treatment plant</w:t>
      </w:r>
      <w:r w:rsidR="0070610F">
        <w:rPr>
          <w:rFonts w:ascii="Calibri" w:eastAsia="Calibri" w:hAnsi="Calibri"/>
          <w:sz w:val="18"/>
          <w:szCs w:val="18"/>
        </w:rPr>
        <w:t xml:space="preserve"> upgrades (in progress 2016).</w:t>
      </w:r>
    </w:p>
    <w:p w:rsidR="00CB7531" w:rsidRDefault="0070610F" w:rsidP="0084292D">
      <w:pPr>
        <w:suppressAutoHyphens/>
        <w:spacing w:before="0" w:after="120" w:line="240" w:lineRule="exact"/>
        <w:ind w:left="180" w:hanging="180"/>
        <w:rPr>
          <w:rFonts w:ascii="Calibri" w:eastAsia="Calibri" w:hAnsi="Calibri"/>
          <w:sz w:val="18"/>
          <w:szCs w:val="18"/>
        </w:rPr>
      </w:pPr>
      <w:r>
        <w:rPr>
          <w:rFonts w:ascii="Calibri" w:eastAsia="Calibri" w:hAnsi="Calibri"/>
          <w:sz w:val="18"/>
          <w:szCs w:val="18"/>
        </w:rPr>
        <w:t>3.</w:t>
      </w:r>
      <w:r>
        <w:rPr>
          <w:rFonts w:ascii="Calibri" w:eastAsia="Calibri" w:hAnsi="Calibri"/>
          <w:sz w:val="18"/>
          <w:szCs w:val="18"/>
        </w:rPr>
        <w:tab/>
      </w:r>
      <w:r w:rsidR="00A53160">
        <w:rPr>
          <w:rFonts w:ascii="Calibri" w:eastAsia="Calibri" w:hAnsi="Calibri"/>
          <w:sz w:val="18"/>
          <w:szCs w:val="18"/>
        </w:rPr>
        <w:t>City of Bellingham e-mail of</w:t>
      </w:r>
      <w:r w:rsidR="00CB7531">
        <w:rPr>
          <w:rFonts w:ascii="Calibri" w:eastAsia="Calibri" w:hAnsi="Calibri"/>
          <w:sz w:val="18"/>
          <w:szCs w:val="18"/>
        </w:rPr>
        <w:t xml:space="preserve"> May 12, 2016.</w:t>
      </w:r>
    </w:p>
    <w:p w:rsidR="0067430B" w:rsidRPr="0067430B" w:rsidRDefault="0070610F" w:rsidP="0084292D">
      <w:pPr>
        <w:suppressAutoHyphens/>
        <w:spacing w:before="0" w:after="120" w:line="240" w:lineRule="exact"/>
        <w:ind w:left="180" w:hanging="180"/>
        <w:rPr>
          <w:rFonts w:ascii="Calibri" w:eastAsia="Calibri" w:hAnsi="Calibri"/>
          <w:sz w:val="18"/>
          <w:szCs w:val="18"/>
        </w:rPr>
      </w:pPr>
      <w:r>
        <w:rPr>
          <w:rFonts w:ascii="Calibri" w:eastAsia="Calibri" w:hAnsi="Calibri"/>
          <w:sz w:val="18"/>
          <w:szCs w:val="18"/>
        </w:rPr>
        <w:t>4</w:t>
      </w:r>
      <w:r w:rsidR="00CB7531">
        <w:rPr>
          <w:rFonts w:ascii="Calibri" w:eastAsia="Calibri" w:hAnsi="Calibri"/>
          <w:sz w:val="18"/>
          <w:szCs w:val="18"/>
        </w:rPr>
        <w:t>.</w:t>
      </w:r>
      <w:r w:rsidR="00CB7531">
        <w:rPr>
          <w:rFonts w:ascii="Calibri" w:eastAsia="Calibri" w:hAnsi="Calibri"/>
          <w:sz w:val="18"/>
          <w:szCs w:val="18"/>
        </w:rPr>
        <w:tab/>
      </w:r>
      <w:r w:rsidR="0067430B" w:rsidRPr="0067430B">
        <w:rPr>
          <w:rFonts w:ascii="Calibri" w:eastAsia="Calibri" w:hAnsi="Calibri"/>
          <w:sz w:val="18"/>
          <w:szCs w:val="18"/>
        </w:rPr>
        <w:t>Design flow figure is the planned upgrad</w:t>
      </w:r>
      <w:r w:rsidR="009E1C04">
        <w:rPr>
          <w:rFonts w:ascii="Calibri" w:eastAsia="Calibri" w:hAnsi="Calibri"/>
          <w:sz w:val="18"/>
          <w:szCs w:val="18"/>
        </w:rPr>
        <w:t>e capacity for the Everson WWTP (</w:t>
      </w:r>
      <w:r w:rsidR="0067430B" w:rsidRPr="0067430B">
        <w:rPr>
          <w:rFonts w:ascii="Calibri" w:eastAsia="Calibri" w:hAnsi="Calibri"/>
          <w:sz w:val="18"/>
          <w:szCs w:val="18"/>
        </w:rPr>
        <w:t>two-thirds of the planned capacity</w:t>
      </w:r>
      <w:r w:rsidR="0067430B">
        <w:rPr>
          <w:rFonts w:ascii="Calibri" w:eastAsia="Calibri" w:hAnsi="Calibri"/>
          <w:sz w:val="18"/>
          <w:szCs w:val="18"/>
        </w:rPr>
        <w:t xml:space="preserve"> is for the City of Everson</w:t>
      </w:r>
      <w:r w:rsidR="009E1C04">
        <w:rPr>
          <w:rFonts w:ascii="Calibri" w:eastAsia="Calibri" w:hAnsi="Calibri"/>
          <w:sz w:val="18"/>
          <w:szCs w:val="18"/>
        </w:rPr>
        <w:t>)</w:t>
      </w:r>
      <w:r w:rsidR="0067430B">
        <w:rPr>
          <w:rFonts w:ascii="Calibri" w:eastAsia="Calibri" w:hAnsi="Calibri"/>
          <w:sz w:val="18"/>
          <w:szCs w:val="18"/>
        </w:rPr>
        <w:t>.</w:t>
      </w:r>
      <w:r w:rsidR="009E1C04">
        <w:rPr>
          <w:rFonts w:ascii="Calibri" w:eastAsia="Calibri" w:hAnsi="Calibri"/>
          <w:sz w:val="18"/>
          <w:szCs w:val="18"/>
        </w:rPr>
        <w:t xml:space="preserve"> </w:t>
      </w:r>
      <w:r w:rsidR="00C95F99">
        <w:rPr>
          <w:rFonts w:ascii="Calibri" w:eastAsia="Calibri" w:hAnsi="Calibri"/>
          <w:sz w:val="18"/>
          <w:szCs w:val="18"/>
        </w:rPr>
        <w:t>Construction activities on t</w:t>
      </w:r>
      <w:r w:rsidR="004F3375">
        <w:rPr>
          <w:rFonts w:ascii="Calibri" w:eastAsia="Calibri" w:hAnsi="Calibri"/>
          <w:sz w:val="18"/>
          <w:szCs w:val="18"/>
        </w:rPr>
        <w:t>he Everson WWTP upgrade commenced in</w:t>
      </w:r>
      <w:r w:rsidR="00956B49">
        <w:rPr>
          <w:rFonts w:ascii="Calibri" w:eastAsia="Calibri" w:hAnsi="Calibri"/>
          <w:sz w:val="18"/>
          <w:szCs w:val="18"/>
        </w:rPr>
        <w:t xml:space="preserve"> 2015 and are scheduled to be completed by the end of </w:t>
      </w:r>
      <w:r w:rsidR="004F3375">
        <w:rPr>
          <w:rFonts w:ascii="Calibri" w:eastAsia="Calibri" w:hAnsi="Calibri"/>
          <w:sz w:val="18"/>
          <w:szCs w:val="18"/>
        </w:rPr>
        <w:t xml:space="preserve"> 2016.</w:t>
      </w:r>
      <w:r w:rsidR="004774A8">
        <w:rPr>
          <w:rFonts w:ascii="Calibri" w:eastAsia="Calibri" w:hAnsi="Calibri"/>
          <w:sz w:val="18"/>
          <w:szCs w:val="18"/>
        </w:rPr>
        <w:tab/>
      </w:r>
      <w:r w:rsidR="0067430B" w:rsidRPr="0067430B">
        <w:rPr>
          <w:rFonts w:ascii="Calibri" w:eastAsia="Calibri" w:hAnsi="Calibri"/>
          <w:sz w:val="18"/>
          <w:szCs w:val="18"/>
        </w:rPr>
        <w:tab/>
      </w:r>
    </w:p>
    <w:p w:rsidR="0067430B" w:rsidRPr="0067430B" w:rsidRDefault="0070610F" w:rsidP="0070610F">
      <w:pPr>
        <w:suppressAutoHyphens/>
        <w:spacing w:before="0" w:after="120" w:line="240" w:lineRule="exact"/>
        <w:ind w:right="-360"/>
        <w:rPr>
          <w:rFonts w:ascii="Calibri" w:eastAsia="Calibri" w:hAnsi="Calibri"/>
          <w:sz w:val="18"/>
          <w:szCs w:val="18"/>
        </w:rPr>
      </w:pPr>
      <w:r>
        <w:rPr>
          <w:rFonts w:ascii="Calibri" w:eastAsia="Calibri" w:hAnsi="Calibri"/>
          <w:sz w:val="18"/>
          <w:szCs w:val="18"/>
        </w:rPr>
        <w:t>5</w:t>
      </w:r>
      <w:r w:rsidR="0067430B" w:rsidRPr="0067430B">
        <w:rPr>
          <w:rFonts w:ascii="Calibri" w:eastAsia="Calibri" w:hAnsi="Calibri"/>
          <w:sz w:val="18"/>
          <w:szCs w:val="18"/>
        </w:rPr>
        <w:t>. Design flow figure is the City of Ferndale's WWTP capacity following</w:t>
      </w:r>
      <w:r w:rsidR="004774A8">
        <w:rPr>
          <w:rFonts w:ascii="Calibri" w:eastAsia="Calibri" w:hAnsi="Calibri"/>
          <w:sz w:val="18"/>
          <w:szCs w:val="18"/>
        </w:rPr>
        <w:t xml:space="preserve"> Phase III construction</w:t>
      </w:r>
      <w:r w:rsidR="00AA179D">
        <w:rPr>
          <w:rFonts w:ascii="Calibri" w:eastAsia="Calibri" w:hAnsi="Calibri"/>
          <w:sz w:val="18"/>
          <w:szCs w:val="18"/>
        </w:rPr>
        <w:t xml:space="preserve"> in 2019.</w:t>
      </w:r>
      <w:r w:rsidR="00AA179D">
        <w:rPr>
          <w:rFonts w:ascii="Calibri" w:eastAsia="Calibri" w:hAnsi="Calibri"/>
          <w:sz w:val="18"/>
          <w:szCs w:val="18"/>
        </w:rPr>
        <w:tab/>
      </w:r>
      <w:r w:rsidR="00AA179D">
        <w:rPr>
          <w:rFonts w:ascii="Calibri" w:eastAsia="Calibri" w:hAnsi="Calibri"/>
          <w:sz w:val="18"/>
          <w:szCs w:val="18"/>
        </w:rPr>
        <w:tab/>
      </w:r>
    </w:p>
    <w:p w:rsidR="0084292D" w:rsidRDefault="0070610F" w:rsidP="004F3375">
      <w:pPr>
        <w:suppressAutoHyphens/>
        <w:spacing w:before="0" w:after="120" w:line="240" w:lineRule="exact"/>
        <w:ind w:left="180" w:hanging="180"/>
        <w:rPr>
          <w:rFonts w:ascii="Calibri" w:eastAsia="Calibri" w:hAnsi="Calibri"/>
          <w:sz w:val="18"/>
          <w:szCs w:val="18"/>
        </w:rPr>
      </w:pPr>
      <w:r>
        <w:rPr>
          <w:rFonts w:ascii="Calibri" w:eastAsia="Calibri" w:hAnsi="Calibri"/>
          <w:sz w:val="18"/>
          <w:szCs w:val="18"/>
        </w:rPr>
        <w:t>6</w:t>
      </w:r>
      <w:r w:rsidR="0067430B" w:rsidRPr="0067430B">
        <w:rPr>
          <w:rFonts w:ascii="Calibri" w:eastAsia="Calibri" w:hAnsi="Calibri"/>
          <w:sz w:val="18"/>
          <w:szCs w:val="18"/>
        </w:rPr>
        <w:t>. Design flow figure is the planned upgrade capacity for t</w:t>
      </w:r>
      <w:r w:rsidR="009E1C04">
        <w:rPr>
          <w:rFonts w:ascii="Calibri" w:eastAsia="Calibri" w:hAnsi="Calibri"/>
          <w:sz w:val="18"/>
          <w:szCs w:val="18"/>
        </w:rPr>
        <w:t>he Everson WWTP (one</w:t>
      </w:r>
      <w:r w:rsidR="0067430B" w:rsidRPr="0067430B">
        <w:rPr>
          <w:rFonts w:ascii="Calibri" w:eastAsia="Calibri" w:hAnsi="Calibri"/>
          <w:sz w:val="18"/>
          <w:szCs w:val="18"/>
        </w:rPr>
        <w:t>-third of the planned capacity</w:t>
      </w:r>
      <w:r w:rsidR="0067430B">
        <w:rPr>
          <w:rFonts w:ascii="Calibri" w:eastAsia="Calibri" w:hAnsi="Calibri"/>
          <w:sz w:val="18"/>
          <w:szCs w:val="18"/>
        </w:rPr>
        <w:t xml:space="preserve"> is for the City of Nooksack</w:t>
      </w:r>
      <w:r w:rsidR="009E1C04">
        <w:rPr>
          <w:rFonts w:ascii="Calibri" w:eastAsia="Calibri" w:hAnsi="Calibri"/>
          <w:sz w:val="18"/>
          <w:szCs w:val="18"/>
        </w:rPr>
        <w:t>)</w:t>
      </w:r>
      <w:r w:rsidR="0067430B">
        <w:rPr>
          <w:rFonts w:ascii="Calibri" w:eastAsia="Calibri" w:hAnsi="Calibri"/>
          <w:sz w:val="18"/>
          <w:szCs w:val="18"/>
        </w:rPr>
        <w:t>.</w:t>
      </w:r>
      <w:r w:rsidR="004F3375">
        <w:rPr>
          <w:rFonts w:ascii="Calibri" w:eastAsia="Calibri" w:hAnsi="Calibri"/>
          <w:sz w:val="18"/>
          <w:szCs w:val="18"/>
        </w:rPr>
        <w:t xml:space="preserve">  </w:t>
      </w:r>
      <w:r w:rsidR="00D106A6" w:rsidRPr="00D106A6">
        <w:rPr>
          <w:rFonts w:ascii="Calibri" w:eastAsia="Calibri" w:hAnsi="Calibri"/>
          <w:sz w:val="18"/>
          <w:szCs w:val="18"/>
        </w:rPr>
        <w:t xml:space="preserve">Construction activities on the Everson WWTP upgrade commenced in </w:t>
      </w:r>
      <w:r w:rsidR="00956B49" w:rsidRPr="00956B49">
        <w:rPr>
          <w:rFonts w:ascii="Calibri" w:eastAsia="Calibri" w:hAnsi="Calibri"/>
          <w:sz w:val="18"/>
          <w:szCs w:val="18"/>
        </w:rPr>
        <w:t xml:space="preserve">2015 and are scheduled to be completed by the end of </w:t>
      </w:r>
      <w:r w:rsidR="00D106A6" w:rsidRPr="00D106A6">
        <w:rPr>
          <w:rFonts w:ascii="Calibri" w:eastAsia="Calibri" w:hAnsi="Calibri"/>
          <w:sz w:val="18"/>
          <w:szCs w:val="18"/>
        </w:rPr>
        <w:t>2016.</w:t>
      </w:r>
      <w:r w:rsidR="0067430B">
        <w:rPr>
          <w:rFonts w:ascii="Calibri" w:eastAsia="Calibri" w:hAnsi="Calibri"/>
          <w:sz w:val="18"/>
          <w:szCs w:val="18"/>
        </w:rPr>
        <w:tab/>
      </w:r>
    </w:p>
    <w:p w:rsidR="00C53147" w:rsidRDefault="0070610F" w:rsidP="00C53147">
      <w:pPr>
        <w:suppressAutoHyphens/>
        <w:spacing w:before="0" w:after="120" w:line="240" w:lineRule="exact"/>
        <w:ind w:left="634" w:hanging="634"/>
        <w:rPr>
          <w:rFonts w:ascii="Calibri" w:eastAsia="Calibri" w:hAnsi="Calibri"/>
          <w:sz w:val="18"/>
          <w:szCs w:val="18"/>
        </w:rPr>
      </w:pPr>
      <w:r>
        <w:rPr>
          <w:rFonts w:ascii="Calibri" w:eastAsia="Calibri" w:hAnsi="Calibri"/>
          <w:sz w:val="18"/>
          <w:szCs w:val="18"/>
        </w:rPr>
        <w:t>7</w:t>
      </w:r>
      <w:r w:rsidR="009E1C04">
        <w:rPr>
          <w:rFonts w:ascii="Calibri" w:eastAsia="Calibri" w:hAnsi="Calibri"/>
          <w:sz w:val="18"/>
          <w:szCs w:val="18"/>
        </w:rPr>
        <w:t xml:space="preserve">. </w:t>
      </w:r>
      <w:r w:rsidR="00C53147" w:rsidRPr="00C53147">
        <w:rPr>
          <w:rFonts w:ascii="Calibri" w:eastAsia="Calibri" w:hAnsi="Calibri"/>
          <w:sz w:val="18"/>
          <w:szCs w:val="18"/>
        </w:rPr>
        <w:t>Design flow is determined by dividing the peak contract capacity by a peaking factor of 2.5.</w:t>
      </w:r>
    </w:p>
    <w:p w:rsidR="0067430B" w:rsidRDefault="0067430B" w:rsidP="00C53147">
      <w:pPr>
        <w:suppressAutoHyphens/>
        <w:spacing w:before="0" w:after="120" w:line="240" w:lineRule="exact"/>
        <w:ind w:left="634" w:hanging="634"/>
        <w:rPr>
          <w:rFonts w:ascii="Calibri" w:eastAsia="Calibri" w:hAnsi="Calibri"/>
          <w:sz w:val="18"/>
          <w:szCs w:val="18"/>
        </w:rPr>
      </w:pPr>
      <w:r>
        <w:rPr>
          <w:rFonts w:ascii="Calibri" w:eastAsia="Calibri" w:hAnsi="Calibri"/>
          <w:sz w:val="18"/>
          <w:szCs w:val="18"/>
        </w:rPr>
        <w:tab/>
      </w:r>
    </w:p>
    <w:p w:rsidR="005564A1" w:rsidRDefault="005564A1" w:rsidP="009810C2">
      <w:pPr>
        <w:rPr>
          <w:rFonts w:ascii="Calibri" w:eastAsia="Calibri" w:hAnsi="Calibri"/>
          <w:sz w:val="20"/>
          <w:szCs w:val="20"/>
        </w:rPr>
      </w:pPr>
      <w:bookmarkStart w:id="35" w:name="_Toc245621847"/>
    </w:p>
    <w:p w:rsidR="00B91651" w:rsidRDefault="00B91651" w:rsidP="009810C2">
      <w:pPr>
        <w:rPr>
          <w:rFonts w:ascii="Calibri" w:eastAsia="Calibri" w:hAnsi="Calibri"/>
          <w:sz w:val="20"/>
          <w:szCs w:val="20"/>
        </w:rPr>
      </w:pPr>
    </w:p>
    <w:p w:rsidR="00B91651" w:rsidRDefault="00B91651" w:rsidP="009810C2">
      <w:pPr>
        <w:rPr>
          <w:rFonts w:ascii="Calibri" w:eastAsia="Calibri" w:hAnsi="Calibri"/>
          <w:sz w:val="20"/>
          <w:szCs w:val="20"/>
        </w:rPr>
      </w:pPr>
    </w:p>
    <w:p w:rsidR="00B91651" w:rsidRDefault="00B91651" w:rsidP="009810C2">
      <w:pPr>
        <w:rPr>
          <w:rFonts w:ascii="Calibri" w:eastAsia="Calibri" w:hAnsi="Calibri"/>
          <w:sz w:val="20"/>
          <w:szCs w:val="20"/>
        </w:rPr>
      </w:pPr>
    </w:p>
    <w:p w:rsidR="00B91651" w:rsidRDefault="00B91651" w:rsidP="009810C2">
      <w:pPr>
        <w:rPr>
          <w:rFonts w:ascii="Calibri" w:eastAsia="Calibri" w:hAnsi="Calibri"/>
          <w:sz w:val="20"/>
          <w:szCs w:val="20"/>
        </w:rPr>
      </w:pPr>
    </w:p>
    <w:p w:rsidR="00B91651" w:rsidRPr="009810C2" w:rsidRDefault="00B91651" w:rsidP="009810C2">
      <w:pPr>
        <w:rPr>
          <w:rFonts w:ascii="Calibri" w:eastAsia="Calibri" w:hAnsi="Calibri"/>
          <w:sz w:val="20"/>
          <w:szCs w:val="20"/>
        </w:rPr>
      </w:pPr>
    </w:p>
    <w:bookmarkEnd w:id="35"/>
    <w:p w:rsidR="00215E0F" w:rsidRDefault="00DC396F" w:rsidP="00215E0F">
      <w:pPr>
        <w:pStyle w:val="Heading3"/>
      </w:pPr>
      <w:r w:rsidRPr="00DC396F">
        <w:lastRenderedPageBreak/>
        <w:t>Future Needs</w:t>
      </w:r>
    </w:p>
    <w:p w:rsidR="00EE20D3" w:rsidRDefault="005564A1" w:rsidP="00215E0F">
      <w:pPr>
        <w:pStyle w:val="BodyText"/>
      </w:pPr>
      <w:r>
        <w:t>S</w:t>
      </w:r>
      <w:r w:rsidR="0016410F">
        <w:t xml:space="preserve">ewer provider </w:t>
      </w:r>
      <w:r w:rsidR="00874A76">
        <w:t xml:space="preserve">design standards </w:t>
      </w:r>
      <w:r>
        <w:t>are provided below, which are</w:t>
      </w:r>
      <w:r w:rsidR="00215E0F">
        <w:t xml:space="preserve"> based on the estimated wastewater </w:t>
      </w:r>
      <w:r>
        <w:t>usage (gallons/d</w:t>
      </w:r>
      <w:r w:rsidR="00880F2E">
        <w:t>ay for each person or equivalent residential unit</w:t>
      </w:r>
      <w:r>
        <w:t>).</w:t>
      </w:r>
    </w:p>
    <w:p w:rsidR="005564A1" w:rsidRPr="0016410F" w:rsidRDefault="0016410F" w:rsidP="00215E0F">
      <w:pPr>
        <w:pStyle w:val="BodyText"/>
        <w:rPr>
          <w:rFonts w:ascii="Arial Narrow" w:hAnsi="Arial Narrow"/>
          <w:b/>
          <w:color w:val="002060"/>
          <w:sz w:val="24"/>
        </w:rPr>
      </w:pPr>
      <w:r>
        <w:rPr>
          <w:rFonts w:ascii="Arial Narrow" w:hAnsi="Arial Narrow"/>
          <w:b/>
          <w:color w:val="002060"/>
          <w:sz w:val="24"/>
        </w:rPr>
        <w:t>Table 12.2 Design Standards</w:t>
      </w:r>
    </w:p>
    <w:p w:rsidR="00EE20D3" w:rsidRPr="00EE20D3" w:rsidRDefault="00EE20D3" w:rsidP="00215E0F">
      <w:pPr>
        <w:pStyle w:val="BodyText"/>
        <w:rPr>
          <w:b/>
          <w:sz w:val="24"/>
          <w:u w:val="single"/>
        </w:rPr>
      </w:pPr>
      <w:r w:rsidRPr="00EE20D3">
        <w:rPr>
          <w:b/>
          <w:sz w:val="24"/>
          <w:u w:val="single"/>
        </w:rPr>
        <w:t>Service Provider</w:t>
      </w:r>
      <w:r w:rsidRPr="00EE20D3">
        <w:rPr>
          <w:b/>
          <w:sz w:val="24"/>
          <w:u w:val="single"/>
        </w:rPr>
        <w:tab/>
      </w:r>
      <w:r w:rsidRPr="00EE20D3">
        <w:rPr>
          <w:b/>
          <w:sz w:val="24"/>
          <w:u w:val="single"/>
        </w:rPr>
        <w:tab/>
      </w:r>
      <w:r w:rsidRPr="00EE20D3">
        <w:rPr>
          <w:b/>
          <w:sz w:val="24"/>
          <w:u w:val="single"/>
        </w:rPr>
        <w:tab/>
      </w:r>
      <w:r w:rsidRPr="00EE20D3">
        <w:rPr>
          <w:b/>
          <w:sz w:val="24"/>
          <w:u w:val="single"/>
        </w:rPr>
        <w:tab/>
      </w:r>
      <w:r w:rsidRPr="00EE20D3">
        <w:rPr>
          <w:b/>
          <w:sz w:val="24"/>
          <w:u w:val="single"/>
        </w:rPr>
        <w:tab/>
      </w:r>
      <w:r w:rsidR="0016410F">
        <w:rPr>
          <w:b/>
          <w:sz w:val="24"/>
          <w:u w:val="single"/>
        </w:rPr>
        <w:t xml:space="preserve">Design Standards  </w:t>
      </w:r>
      <w:r w:rsidRPr="00EE20D3">
        <w:rPr>
          <w:b/>
          <w:sz w:val="24"/>
          <w:u w:val="single"/>
        </w:rPr>
        <w:t xml:space="preserve">  </w:t>
      </w:r>
    </w:p>
    <w:p w:rsidR="00EE20D3" w:rsidRDefault="00EE20D3" w:rsidP="00215E0F">
      <w:pPr>
        <w:pStyle w:val="BodyText"/>
      </w:pPr>
      <w:r>
        <w:t>Birch Bay Water and Sewer District</w:t>
      </w:r>
      <w:r>
        <w:tab/>
      </w:r>
      <w:r>
        <w:tab/>
      </w:r>
      <w:r>
        <w:tab/>
      </w:r>
      <w:r w:rsidR="00956B49">
        <w:t xml:space="preserve">  </w:t>
      </w:r>
      <w:r>
        <w:t>70</w:t>
      </w:r>
      <w:r>
        <w:tab/>
        <w:t>gallons/capita/day</w:t>
      </w:r>
    </w:p>
    <w:p w:rsidR="00EE20D3" w:rsidRDefault="00EE20D3" w:rsidP="00215E0F">
      <w:pPr>
        <w:pStyle w:val="BodyText"/>
      </w:pPr>
      <w:r>
        <w:t>City of Bellingham</w:t>
      </w:r>
      <w:r>
        <w:tab/>
      </w:r>
      <w:r>
        <w:tab/>
      </w:r>
      <w:r>
        <w:tab/>
      </w:r>
      <w:r>
        <w:tab/>
      </w:r>
      <w:r>
        <w:tab/>
        <w:t>102</w:t>
      </w:r>
      <w:r>
        <w:tab/>
      </w:r>
      <w:r w:rsidRPr="00EE20D3">
        <w:t>gallons/capita/day</w:t>
      </w:r>
    </w:p>
    <w:p w:rsidR="00EE20D3" w:rsidRDefault="0039099A" w:rsidP="00215E0F">
      <w:pPr>
        <w:pStyle w:val="BodyText"/>
      </w:pPr>
      <w:r>
        <w:t>City of Blaine</w:t>
      </w:r>
      <w:r>
        <w:tab/>
      </w:r>
      <w:r>
        <w:tab/>
      </w:r>
      <w:r>
        <w:tab/>
      </w:r>
      <w:r>
        <w:tab/>
      </w:r>
      <w:r>
        <w:tab/>
      </w:r>
      <w:r>
        <w:tab/>
        <w:t>184</w:t>
      </w:r>
      <w:r>
        <w:tab/>
        <w:t>gallons/ERU</w:t>
      </w:r>
      <w:r w:rsidR="00EE20D3" w:rsidRPr="00EE20D3">
        <w:t>/day</w:t>
      </w:r>
    </w:p>
    <w:p w:rsidR="00EE20D3" w:rsidRDefault="00EE20D3" w:rsidP="00215E0F">
      <w:pPr>
        <w:pStyle w:val="BodyText"/>
      </w:pPr>
      <w:r>
        <w:t>City of Everson</w:t>
      </w:r>
      <w:r>
        <w:tab/>
      </w:r>
      <w:r>
        <w:tab/>
      </w:r>
      <w:r>
        <w:tab/>
      </w:r>
      <w:r>
        <w:tab/>
      </w:r>
      <w:r>
        <w:tab/>
      </w:r>
      <w:r>
        <w:tab/>
      </w:r>
      <w:r w:rsidR="00956B49">
        <w:t xml:space="preserve">  </w:t>
      </w:r>
      <w:r>
        <w:t>96</w:t>
      </w:r>
      <w:r>
        <w:tab/>
      </w:r>
      <w:r w:rsidRPr="00EE20D3">
        <w:t>gallons/capita/day</w:t>
      </w:r>
    </w:p>
    <w:p w:rsidR="00EE20D3" w:rsidRDefault="00AA179D" w:rsidP="00215E0F">
      <w:pPr>
        <w:pStyle w:val="BodyText"/>
      </w:pPr>
      <w:r>
        <w:t>City of Ferndale</w:t>
      </w:r>
      <w:r>
        <w:tab/>
      </w:r>
      <w:r>
        <w:tab/>
      </w:r>
      <w:r>
        <w:tab/>
      </w:r>
      <w:r>
        <w:tab/>
      </w:r>
      <w:r>
        <w:tab/>
        <w:t>154</w:t>
      </w:r>
      <w:r w:rsidR="00EE20D3">
        <w:tab/>
      </w:r>
      <w:r w:rsidR="00EE20D3" w:rsidRPr="00EE20D3">
        <w:t>gallons/capita/day</w:t>
      </w:r>
    </w:p>
    <w:p w:rsidR="00C259CB" w:rsidRDefault="00C259CB" w:rsidP="00215E0F">
      <w:pPr>
        <w:pStyle w:val="BodyText"/>
      </w:pPr>
      <w:r>
        <w:t>City of Lynden</w:t>
      </w:r>
      <w:r>
        <w:tab/>
      </w:r>
      <w:r>
        <w:tab/>
      </w:r>
      <w:r>
        <w:tab/>
      </w:r>
      <w:r>
        <w:tab/>
      </w:r>
      <w:r>
        <w:tab/>
      </w:r>
      <w:r>
        <w:tab/>
      </w:r>
      <w:r w:rsidR="00CA4EE5">
        <w:t>100</w:t>
      </w:r>
      <w:r w:rsidR="00CA4EE5">
        <w:tab/>
      </w:r>
      <w:r w:rsidR="00CA4EE5" w:rsidRPr="00CA4EE5">
        <w:t>gallons/capita/day</w:t>
      </w:r>
    </w:p>
    <w:p w:rsidR="00EE20D3" w:rsidRDefault="00EE20D3" w:rsidP="00215E0F">
      <w:pPr>
        <w:pStyle w:val="BodyText"/>
      </w:pPr>
      <w:r>
        <w:t>City of Nooksack</w:t>
      </w:r>
      <w:r>
        <w:tab/>
      </w:r>
      <w:r>
        <w:tab/>
      </w:r>
      <w:r>
        <w:tab/>
      </w:r>
      <w:r>
        <w:tab/>
      </w:r>
      <w:r>
        <w:tab/>
      </w:r>
      <w:r w:rsidR="00956B49">
        <w:t xml:space="preserve">  </w:t>
      </w:r>
      <w:r>
        <w:t>89</w:t>
      </w:r>
      <w:r>
        <w:tab/>
      </w:r>
      <w:r w:rsidRPr="00EE20D3">
        <w:t>gallons/capita/day</w:t>
      </w:r>
    </w:p>
    <w:p w:rsidR="00EE20D3" w:rsidRDefault="00EE20D3" w:rsidP="00215E0F">
      <w:pPr>
        <w:pStyle w:val="BodyText"/>
      </w:pPr>
      <w:r>
        <w:t>City of Sumas</w:t>
      </w:r>
      <w:r>
        <w:tab/>
      </w:r>
      <w:r>
        <w:tab/>
      </w:r>
      <w:r>
        <w:tab/>
      </w:r>
      <w:r>
        <w:tab/>
      </w:r>
      <w:r>
        <w:tab/>
      </w:r>
      <w:r>
        <w:tab/>
      </w:r>
      <w:r w:rsidR="00956B49">
        <w:t xml:space="preserve">  80</w:t>
      </w:r>
      <w:r>
        <w:tab/>
      </w:r>
      <w:r w:rsidRPr="00EE20D3">
        <w:t>gallons/capita/day</w:t>
      </w:r>
    </w:p>
    <w:p w:rsidR="00EE20D3" w:rsidRDefault="00EE20D3" w:rsidP="00215E0F">
      <w:pPr>
        <w:pStyle w:val="BodyText"/>
      </w:pPr>
      <w:r>
        <w:t>Lake Whatcom Water and Sewer District</w:t>
      </w:r>
      <w:r>
        <w:tab/>
      </w:r>
      <w:r>
        <w:tab/>
        <w:t>100</w:t>
      </w:r>
      <w:r>
        <w:tab/>
        <w:t>gallons/capita/day</w:t>
      </w:r>
    </w:p>
    <w:p w:rsidR="00EE20D3" w:rsidRDefault="00EE20D3" w:rsidP="00215E0F">
      <w:pPr>
        <w:pStyle w:val="BodyText"/>
      </w:pPr>
      <w:r>
        <w:t>Water District 13</w:t>
      </w:r>
      <w:r>
        <w:tab/>
      </w:r>
      <w:r>
        <w:tab/>
      </w:r>
      <w:r>
        <w:tab/>
      </w:r>
      <w:r>
        <w:tab/>
      </w:r>
      <w:r>
        <w:tab/>
      </w:r>
      <w:r w:rsidR="00956B49">
        <w:t xml:space="preserve">  </w:t>
      </w:r>
      <w:r w:rsidR="00357868">
        <w:t>67</w:t>
      </w:r>
      <w:r>
        <w:tab/>
        <w:t>gallons/capita/day</w:t>
      </w:r>
    </w:p>
    <w:p w:rsidR="005564A1" w:rsidRPr="00C5689C" w:rsidRDefault="00493818" w:rsidP="00215E0F">
      <w:pPr>
        <w:pStyle w:val="BodyText"/>
        <w:rPr>
          <w:i/>
          <w:sz w:val="20"/>
          <w:szCs w:val="20"/>
        </w:rPr>
      </w:pPr>
      <w:r>
        <w:rPr>
          <w:i/>
          <w:sz w:val="20"/>
          <w:szCs w:val="20"/>
        </w:rPr>
        <w:t>Source:  D</w:t>
      </w:r>
      <w:r w:rsidR="004E7CA7" w:rsidRPr="00956B49">
        <w:rPr>
          <w:i/>
          <w:sz w:val="20"/>
          <w:szCs w:val="20"/>
        </w:rPr>
        <w:t>erived from individual sewer plans.</w:t>
      </w:r>
      <w:r w:rsidR="00956B49" w:rsidRPr="00956B49">
        <w:rPr>
          <w:i/>
          <w:sz w:val="20"/>
          <w:szCs w:val="20"/>
        </w:rPr>
        <w:t xml:space="preserve"> </w:t>
      </w:r>
      <w:r w:rsidR="00643F56">
        <w:rPr>
          <w:i/>
          <w:sz w:val="20"/>
          <w:szCs w:val="20"/>
        </w:rPr>
        <w:t>Blaine figure is from City of Blaine in an e-mail of May 12, 2016.</w:t>
      </w:r>
      <w:r w:rsidR="00F229E6">
        <w:rPr>
          <w:i/>
          <w:sz w:val="20"/>
          <w:szCs w:val="20"/>
        </w:rPr>
        <w:t xml:space="preserve"> </w:t>
      </w:r>
      <w:r w:rsidR="00956B49" w:rsidRPr="00956B49">
        <w:rPr>
          <w:i/>
          <w:sz w:val="20"/>
          <w:szCs w:val="20"/>
        </w:rPr>
        <w:t>Sumas figure is from the Sumas</w:t>
      </w:r>
      <w:r w:rsidR="00643F56">
        <w:rPr>
          <w:i/>
          <w:sz w:val="20"/>
          <w:szCs w:val="20"/>
        </w:rPr>
        <w:t xml:space="preserve"> City Planner in an e-mail of</w:t>
      </w:r>
      <w:r w:rsidR="00956B49" w:rsidRPr="00956B49">
        <w:rPr>
          <w:i/>
          <w:sz w:val="20"/>
          <w:szCs w:val="20"/>
        </w:rPr>
        <w:t xml:space="preserve"> March 7, 2016.</w:t>
      </w:r>
      <w:r w:rsidR="00643F56">
        <w:rPr>
          <w:i/>
          <w:sz w:val="20"/>
          <w:szCs w:val="20"/>
        </w:rPr>
        <w:t xml:space="preserve">  </w:t>
      </w:r>
    </w:p>
    <w:p w:rsidR="005564A1" w:rsidRDefault="005564A1" w:rsidP="00215E0F">
      <w:pPr>
        <w:pStyle w:val="BodyText"/>
      </w:pPr>
    </w:p>
    <w:p w:rsidR="005564A1" w:rsidRDefault="005564A1" w:rsidP="00215E0F">
      <w:pPr>
        <w:pStyle w:val="BodyText"/>
      </w:pPr>
    </w:p>
    <w:p w:rsidR="005564A1" w:rsidRDefault="005564A1" w:rsidP="00215E0F">
      <w:pPr>
        <w:pStyle w:val="BodyText"/>
      </w:pPr>
    </w:p>
    <w:p w:rsidR="005564A1" w:rsidRDefault="005564A1" w:rsidP="00215E0F">
      <w:pPr>
        <w:pStyle w:val="BodyText"/>
      </w:pPr>
    </w:p>
    <w:p w:rsidR="005564A1" w:rsidRDefault="005564A1" w:rsidP="00215E0F">
      <w:pPr>
        <w:pStyle w:val="BodyText"/>
      </w:pPr>
    </w:p>
    <w:p w:rsidR="00193878" w:rsidRDefault="00193878" w:rsidP="00215E0F">
      <w:pPr>
        <w:pStyle w:val="BodyText"/>
      </w:pPr>
    </w:p>
    <w:p w:rsidR="00193878" w:rsidRDefault="00193878" w:rsidP="00215E0F">
      <w:pPr>
        <w:pStyle w:val="BodyText"/>
      </w:pPr>
    </w:p>
    <w:p w:rsidR="00F91CFC" w:rsidRDefault="00F91CFC" w:rsidP="00215E0F">
      <w:pPr>
        <w:pStyle w:val="BodyText"/>
      </w:pPr>
    </w:p>
    <w:p w:rsidR="00A008D6" w:rsidRDefault="00A008D6" w:rsidP="00215E0F">
      <w:pPr>
        <w:pStyle w:val="BodyText"/>
      </w:pPr>
    </w:p>
    <w:p w:rsidR="006849EB" w:rsidRDefault="006849EB" w:rsidP="00215E0F">
      <w:pPr>
        <w:pStyle w:val="BodyText"/>
      </w:pPr>
    </w:p>
    <w:p w:rsidR="00D106A6" w:rsidRDefault="005564A1" w:rsidP="00215E0F">
      <w:pPr>
        <w:pStyle w:val="BodyText"/>
      </w:pPr>
      <w:r>
        <w:lastRenderedPageBreak/>
        <w:t>The table below</w:t>
      </w:r>
      <w:r w:rsidR="00215E0F">
        <w:t xml:space="preserve"> identifies </w:t>
      </w:r>
      <w:r w:rsidR="00193878">
        <w:t xml:space="preserve">projected </w:t>
      </w:r>
      <w:r w:rsidR="00215E0F">
        <w:t>treatment capacity</w:t>
      </w:r>
      <w:r w:rsidR="00193878">
        <w:t xml:space="preserve"> in 2022 for each sewer provider</w:t>
      </w:r>
      <w:r w:rsidR="006849EB">
        <w:t xml:space="preserve"> that serves a UGA</w:t>
      </w:r>
      <w:r w:rsidR="00193878">
        <w:t>, given planned growth for these areas</w:t>
      </w:r>
      <w:r w:rsidR="00215E0F">
        <w:t>.</w:t>
      </w:r>
    </w:p>
    <w:p w:rsidR="00215E0F" w:rsidRDefault="0016410F" w:rsidP="00215E0F">
      <w:pPr>
        <w:pStyle w:val="Caption"/>
      </w:pPr>
      <w:bookmarkStart w:id="36" w:name="_Toc245621946"/>
      <w:r>
        <w:t>Table 12.3</w:t>
      </w:r>
      <w:r>
        <w:tab/>
      </w:r>
      <w:r w:rsidR="00DC396F">
        <w:t>Sewer Treatment Capacity</w:t>
      </w:r>
      <w:r w:rsidR="00215E0F">
        <w:t xml:space="preserve"> </w:t>
      </w:r>
      <w:r w:rsidR="004E7CA7">
        <w:t>2022</w:t>
      </w:r>
      <w:bookmarkEnd w:id="36"/>
    </w:p>
    <w:tbl>
      <w:tblPr>
        <w:tblW w:w="6948" w:type="dxa"/>
        <w:tblBorders>
          <w:top w:val="single" w:sz="4" w:space="0" w:color="1F497D"/>
          <w:bottom w:val="single" w:sz="4" w:space="0" w:color="1F497D"/>
          <w:insideH w:val="single" w:sz="4" w:space="0" w:color="1F497D"/>
          <w:insideV w:val="single" w:sz="4" w:space="0" w:color="1F497D"/>
        </w:tblBorders>
        <w:tblLayout w:type="fixed"/>
        <w:tblLook w:val="04A0" w:firstRow="1" w:lastRow="0" w:firstColumn="1" w:lastColumn="0" w:noHBand="0" w:noVBand="1"/>
      </w:tblPr>
      <w:tblGrid>
        <w:gridCol w:w="2538"/>
        <w:gridCol w:w="2160"/>
        <w:gridCol w:w="2250"/>
      </w:tblGrid>
      <w:tr w:rsidR="00215E0F" w:rsidTr="005718C9">
        <w:trPr>
          <w:trHeight w:val="289"/>
          <w:tblHeader/>
        </w:trPr>
        <w:tc>
          <w:tcPr>
            <w:tcW w:w="2538" w:type="dxa"/>
            <w:vMerge w:val="restart"/>
          </w:tcPr>
          <w:p w:rsidR="00215E0F" w:rsidRDefault="00215E0F" w:rsidP="005718C9">
            <w:pPr>
              <w:pStyle w:val="TableHeader"/>
            </w:pPr>
            <w:r>
              <w:t>Service Provider</w:t>
            </w:r>
          </w:p>
        </w:tc>
        <w:tc>
          <w:tcPr>
            <w:tcW w:w="2160" w:type="dxa"/>
            <w:vMerge w:val="restart"/>
          </w:tcPr>
          <w:p w:rsidR="00215E0F" w:rsidRDefault="00215E0F" w:rsidP="005718C9">
            <w:pPr>
              <w:pStyle w:val="TableHeader"/>
            </w:pPr>
            <w:r>
              <w:t>Current Treatment Capacity (MGD)</w:t>
            </w:r>
          </w:p>
        </w:tc>
        <w:tc>
          <w:tcPr>
            <w:tcW w:w="2250" w:type="dxa"/>
            <w:vMerge w:val="restart"/>
          </w:tcPr>
          <w:p w:rsidR="00215E0F" w:rsidRDefault="004E7CA7" w:rsidP="005718C9">
            <w:pPr>
              <w:pStyle w:val="TableHeader"/>
            </w:pPr>
            <w:r>
              <w:t xml:space="preserve">2022 </w:t>
            </w:r>
            <w:r w:rsidR="00215E0F">
              <w:t xml:space="preserve">Treatment Capacity Surplus (Deficit) expressed in MGD </w:t>
            </w:r>
          </w:p>
        </w:tc>
      </w:tr>
      <w:tr w:rsidR="00215E0F" w:rsidTr="005718C9">
        <w:trPr>
          <w:trHeight w:val="349"/>
          <w:tblHeader/>
        </w:trPr>
        <w:tc>
          <w:tcPr>
            <w:tcW w:w="2538" w:type="dxa"/>
            <w:vMerge/>
          </w:tcPr>
          <w:p w:rsidR="00215E0F" w:rsidRDefault="00215E0F" w:rsidP="005718C9">
            <w:pPr>
              <w:pStyle w:val="TableHeader"/>
            </w:pPr>
          </w:p>
        </w:tc>
        <w:tc>
          <w:tcPr>
            <w:tcW w:w="2160" w:type="dxa"/>
            <w:vMerge/>
          </w:tcPr>
          <w:p w:rsidR="00215E0F" w:rsidRDefault="00215E0F" w:rsidP="005718C9">
            <w:pPr>
              <w:pStyle w:val="TableHeader"/>
            </w:pPr>
          </w:p>
        </w:tc>
        <w:tc>
          <w:tcPr>
            <w:tcW w:w="2250" w:type="dxa"/>
            <w:vMerge/>
          </w:tcPr>
          <w:p w:rsidR="00215E0F" w:rsidRDefault="00215E0F" w:rsidP="005718C9">
            <w:pPr>
              <w:pStyle w:val="TableHeader"/>
            </w:pPr>
          </w:p>
        </w:tc>
      </w:tr>
      <w:tr w:rsidR="00215E0F" w:rsidTr="005718C9">
        <w:tc>
          <w:tcPr>
            <w:tcW w:w="2538" w:type="dxa"/>
          </w:tcPr>
          <w:p w:rsidR="00215E0F" w:rsidRDefault="00215E0F" w:rsidP="005718C9">
            <w:pPr>
              <w:pStyle w:val="TableText"/>
              <w:rPr>
                <w:highlight w:val="yellow"/>
              </w:rPr>
            </w:pPr>
            <w:r>
              <w:rPr>
                <w:color w:val="000000"/>
                <w:szCs w:val="22"/>
              </w:rPr>
              <w:t>Bellingham</w:t>
            </w:r>
          </w:p>
        </w:tc>
        <w:tc>
          <w:tcPr>
            <w:tcW w:w="2160" w:type="dxa"/>
            <w:vAlign w:val="bottom"/>
          </w:tcPr>
          <w:p w:rsidR="00215E0F" w:rsidRDefault="00DF3139" w:rsidP="005718C9">
            <w:pPr>
              <w:pStyle w:val="TableText"/>
              <w:jc w:val="center"/>
              <w:rPr>
                <w:highlight w:val="yellow"/>
              </w:rPr>
            </w:pPr>
            <w:r>
              <w:t>34.3</w:t>
            </w:r>
            <w:r w:rsidR="001E1C34">
              <w:t>00</w:t>
            </w:r>
          </w:p>
        </w:tc>
        <w:tc>
          <w:tcPr>
            <w:tcW w:w="2250" w:type="dxa"/>
          </w:tcPr>
          <w:p w:rsidR="00215E0F" w:rsidRDefault="00CB7024" w:rsidP="005718C9">
            <w:pPr>
              <w:pStyle w:val="TableText"/>
              <w:jc w:val="center"/>
            </w:pPr>
            <w:r>
              <w:t>10.6</w:t>
            </w:r>
          </w:p>
        </w:tc>
      </w:tr>
      <w:tr w:rsidR="00215E0F" w:rsidTr="005718C9">
        <w:tc>
          <w:tcPr>
            <w:tcW w:w="2538" w:type="dxa"/>
          </w:tcPr>
          <w:p w:rsidR="00215E0F" w:rsidRDefault="00215E0F" w:rsidP="005718C9">
            <w:pPr>
              <w:pStyle w:val="TableText"/>
              <w:rPr>
                <w:highlight w:val="yellow"/>
              </w:rPr>
            </w:pPr>
            <w:r>
              <w:rPr>
                <w:bCs/>
                <w:szCs w:val="22"/>
              </w:rPr>
              <w:t>Birch Bay Water &amp; Sewer</w:t>
            </w:r>
          </w:p>
        </w:tc>
        <w:tc>
          <w:tcPr>
            <w:tcW w:w="2160" w:type="dxa"/>
            <w:vAlign w:val="bottom"/>
          </w:tcPr>
          <w:p w:rsidR="00215E0F" w:rsidRDefault="00E41F46" w:rsidP="005718C9">
            <w:pPr>
              <w:pStyle w:val="TableText"/>
              <w:jc w:val="center"/>
              <w:rPr>
                <w:highlight w:val="yellow"/>
              </w:rPr>
            </w:pPr>
            <w:r>
              <w:t>1.44</w:t>
            </w:r>
          </w:p>
        </w:tc>
        <w:tc>
          <w:tcPr>
            <w:tcW w:w="2250" w:type="dxa"/>
          </w:tcPr>
          <w:p w:rsidR="00215E0F" w:rsidRDefault="00E41F46" w:rsidP="005718C9">
            <w:pPr>
              <w:pStyle w:val="TableText"/>
              <w:jc w:val="center"/>
            </w:pPr>
            <w:r>
              <w:t>0.00</w:t>
            </w:r>
            <w:r>
              <w:rPr>
                <w:color w:val="000000"/>
                <w:szCs w:val="22"/>
                <w:vertAlign w:val="superscript"/>
              </w:rPr>
              <w:t>1</w:t>
            </w:r>
          </w:p>
        </w:tc>
      </w:tr>
      <w:tr w:rsidR="00215E0F" w:rsidTr="005718C9">
        <w:tc>
          <w:tcPr>
            <w:tcW w:w="2538" w:type="dxa"/>
          </w:tcPr>
          <w:p w:rsidR="00215E0F" w:rsidRDefault="00215E0F" w:rsidP="005718C9">
            <w:pPr>
              <w:pStyle w:val="TableText"/>
              <w:rPr>
                <w:highlight w:val="yellow"/>
              </w:rPr>
            </w:pPr>
            <w:r>
              <w:rPr>
                <w:color w:val="000000"/>
                <w:szCs w:val="22"/>
              </w:rPr>
              <w:t>Blaine</w:t>
            </w:r>
          </w:p>
        </w:tc>
        <w:tc>
          <w:tcPr>
            <w:tcW w:w="2160" w:type="dxa"/>
            <w:vAlign w:val="bottom"/>
          </w:tcPr>
          <w:p w:rsidR="00215E0F" w:rsidRDefault="00087407" w:rsidP="004E7CA7">
            <w:pPr>
              <w:pStyle w:val="TableText"/>
              <w:jc w:val="center"/>
              <w:rPr>
                <w:highlight w:val="yellow"/>
              </w:rPr>
            </w:pPr>
            <w:r>
              <w:t>1.54</w:t>
            </w:r>
          </w:p>
        </w:tc>
        <w:tc>
          <w:tcPr>
            <w:tcW w:w="2250" w:type="dxa"/>
          </w:tcPr>
          <w:p w:rsidR="00E331EB" w:rsidRDefault="00087407" w:rsidP="00E331EB">
            <w:pPr>
              <w:pStyle w:val="TableText"/>
              <w:jc w:val="center"/>
            </w:pPr>
            <w:r>
              <w:t>0.75</w:t>
            </w:r>
          </w:p>
        </w:tc>
      </w:tr>
      <w:tr w:rsidR="00215E0F" w:rsidTr="005718C9">
        <w:tc>
          <w:tcPr>
            <w:tcW w:w="2538" w:type="dxa"/>
          </w:tcPr>
          <w:p w:rsidR="00215E0F" w:rsidRDefault="00215E0F" w:rsidP="00B91651">
            <w:pPr>
              <w:pStyle w:val="TableText"/>
              <w:rPr>
                <w:highlight w:val="yellow"/>
              </w:rPr>
            </w:pPr>
            <w:r>
              <w:rPr>
                <w:color w:val="000000"/>
                <w:szCs w:val="22"/>
              </w:rPr>
              <w:t xml:space="preserve">Everson </w:t>
            </w:r>
          </w:p>
        </w:tc>
        <w:tc>
          <w:tcPr>
            <w:tcW w:w="2160" w:type="dxa"/>
            <w:vAlign w:val="bottom"/>
          </w:tcPr>
          <w:p w:rsidR="001C4B93" w:rsidRDefault="004E7CA7" w:rsidP="004E7CA7">
            <w:pPr>
              <w:pStyle w:val="TableText"/>
              <w:jc w:val="center"/>
            </w:pPr>
            <w:r>
              <w:t>0.44</w:t>
            </w:r>
            <w:r w:rsidR="001C4B93">
              <w:t>1</w:t>
            </w:r>
            <w:r w:rsidR="00B91651">
              <w:rPr>
                <w:color w:val="000000"/>
                <w:szCs w:val="22"/>
                <w:vertAlign w:val="superscript"/>
              </w:rPr>
              <w:t>2</w:t>
            </w:r>
          </w:p>
          <w:p w:rsidR="00215E0F" w:rsidRDefault="00215E0F" w:rsidP="004E7CA7">
            <w:pPr>
              <w:pStyle w:val="TableText"/>
              <w:jc w:val="center"/>
              <w:rPr>
                <w:highlight w:val="yellow"/>
              </w:rPr>
            </w:pPr>
          </w:p>
        </w:tc>
        <w:tc>
          <w:tcPr>
            <w:tcW w:w="2250" w:type="dxa"/>
          </w:tcPr>
          <w:p w:rsidR="001C4B93" w:rsidRDefault="001C4B93" w:rsidP="004E7CA7">
            <w:pPr>
              <w:pStyle w:val="TableText"/>
              <w:jc w:val="center"/>
            </w:pPr>
            <w:r>
              <w:t>0.124</w:t>
            </w:r>
          </w:p>
          <w:p w:rsidR="00215E0F" w:rsidRDefault="00215E0F" w:rsidP="004E7CA7">
            <w:pPr>
              <w:pStyle w:val="TableText"/>
              <w:jc w:val="center"/>
            </w:pPr>
          </w:p>
        </w:tc>
      </w:tr>
      <w:tr w:rsidR="00215E0F" w:rsidTr="005718C9">
        <w:tc>
          <w:tcPr>
            <w:tcW w:w="2538" w:type="dxa"/>
          </w:tcPr>
          <w:p w:rsidR="00215E0F" w:rsidRDefault="00215E0F" w:rsidP="005718C9">
            <w:pPr>
              <w:pStyle w:val="TableText"/>
              <w:rPr>
                <w:highlight w:val="yellow"/>
              </w:rPr>
            </w:pPr>
            <w:r>
              <w:rPr>
                <w:bCs/>
                <w:color w:val="000000"/>
                <w:szCs w:val="22"/>
              </w:rPr>
              <w:t>Ferndale</w:t>
            </w:r>
          </w:p>
        </w:tc>
        <w:tc>
          <w:tcPr>
            <w:tcW w:w="2160" w:type="dxa"/>
            <w:vAlign w:val="bottom"/>
          </w:tcPr>
          <w:p w:rsidR="00215E0F" w:rsidRDefault="00E331EB" w:rsidP="005718C9">
            <w:pPr>
              <w:pStyle w:val="TableText"/>
              <w:jc w:val="center"/>
              <w:rPr>
                <w:highlight w:val="yellow"/>
              </w:rPr>
            </w:pPr>
            <w:r>
              <w:t>6.37</w:t>
            </w:r>
            <w:r w:rsidR="00243DA2">
              <w:rPr>
                <w:color w:val="000000"/>
                <w:szCs w:val="22"/>
                <w:vertAlign w:val="superscript"/>
              </w:rPr>
              <w:t>3</w:t>
            </w:r>
          </w:p>
        </w:tc>
        <w:tc>
          <w:tcPr>
            <w:tcW w:w="2250" w:type="dxa"/>
          </w:tcPr>
          <w:p w:rsidR="00E331EB" w:rsidRDefault="00113D0A" w:rsidP="00E331EB">
            <w:pPr>
              <w:pStyle w:val="TableText"/>
              <w:jc w:val="center"/>
            </w:pPr>
            <w:r>
              <w:t>3.36</w:t>
            </w:r>
          </w:p>
        </w:tc>
      </w:tr>
      <w:tr w:rsidR="00215E0F" w:rsidTr="005718C9">
        <w:tc>
          <w:tcPr>
            <w:tcW w:w="2538" w:type="dxa"/>
          </w:tcPr>
          <w:p w:rsidR="00215E0F" w:rsidRPr="0023132E" w:rsidRDefault="00215E0F" w:rsidP="005718C9">
            <w:pPr>
              <w:pStyle w:val="TableText"/>
            </w:pPr>
            <w:r w:rsidRPr="0023132E">
              <w:rPr>
                <w:color w:val="000000"/>
                <w:szCs w:val="22"/>
              </w:rPr>
              <w:t>Lynden</w:t>
            </w:r>
          </w:p>
        </w:tc>
        <w:tc>
          <w:tcPr>
            <w:tcW w:w="2160" w:type="dxa"/>
            <w:vAlign w:val="bottom"/>
          </w:tcPr>
          <w:p w:rsidR="00215E0F" w:rsidRPr="0023132E" w:rsidRDefault="00215E0F" w:rsidP="005718C9">
            <w:pPr>
              <w:pStyle w:val="TableText"/>
              <w:jc w:val="center"/>
            </w:pPr>
            <w:r w:rsidRPr="0023132E">
              <w:t>2.18</w:t>
            </w:r>
          </w:p>
        </w:tc>
        <w:tc>
          <w:tcPr>
            <w:tcW w:w="2250" w:type="dxa"/>
          </w:tcPr>
          <w:p w:rsidR="00215E0F" w:rsidRPr="00E42644" w:rsidRDefault="00C41BF4" w:rsidP="005718C9">
            <w:pPr>
              <w:pStyle w:val="TableText"/>
              <w:jc w:val="center"/>
              <w:rPr>
                <w:highlight w:val="yellow"/>
              </w:rPr>
            </w:pPr>
            <w:r>
              <w:t>0.48</w:t>
            </w:r>
          </w:p>
        </w:tc>
      </w:tr>
      <w:tr w:rsidR="00215E0F" w:rsidTr="005718C9">
        <w:tc>
          <w:tcPr>
            <w:tcW w:w="2538" w:type="dxa"/>
          </w:tcPr>
          <w:p w:rsidR="00215E0F" w:rsidRDefault="00243DA2" w:rsidP="00B91651">
            <w:pPr>
              <w:pStyle w:val="TableText"/>
            </w:pPr>
            <w:r>
              <w:rPr>
                <w:color w:val="000000"/>
                <w:szCs w:val="22"/>
              </w:rPr>
              <w:t>Nooksack</w:t>
            </w:r>
          </w:p>
        </w:tc>
        <w:tc>
          <w:tcPr>
            <w:tcW w:w="2160" w:type="dxa"/>
            <w:vAlign w:val="bottom"/>
          </w:tcPr>
          <w:p w:rsidR="001C4B93" w:rsidRDefault="004E7CA7" w:rsidP="004E7CA7">
            <w:pPr>
              <w:pStyle w:val="TableText"/>
              <w:jc w:val="center"/>
            </w:pPr>
            <w:r>
              <w:t>0.22</w:t>
            </w:r>
            <w:r w:rsidR="001C4B93">
              <w:t>0</w:t>
            </w:r>
            <w:r w:rsidR="00B91651">
              <w:rPr>
                <w:color w:val="000000"/>
                <w:szCs w:val="22"/>
                <w:vertAlign w:val="superscript"/>
              </w:rPr>
              <w:t>2</w:t>
            </w:r>
          </w:p>
          <w:p w:rsidR="00215E0F" w:rsidRDefault="00215E0F" w:rsidP="004E7CA7">
            <w:pPr>
              <w:pStyle w:val="TableText"/>
              <w:jc w:val="center"/>
            </w:pPr>
          </w:p>
        </w:tc>
        <w:tc>
          <w:tcPr>
            <w:tcW w:w="2250" w:type="dxa"/>
          </w:tcPr>
          <w:p w:rsidR="001C4B93" w:rsidRDefault="001C4B93" w:rsidP="004E7CA7">
            <w:pPr>
              <w:pStyle w:val="TableText"/>
              <w:jc w:val="center"/>
            </w:pPr>
            <w:r>
              <w:t>0.</w:t>
            </w:r>
            <w:r w:rsidR="00193878">
              <w:t>0</w:t>
            </w:r>
            <w:r>
              <w:t>62</w:t>
            </w:r>
          </w:p>
          <w:p w:rsidR="00215E0F" w:rsidRDefault="00215E0F" w:rsidP="004E7CA7">
            <w:pPr>
              <w:pStyle w:val="TableText"/>
              <w:jc w:val="center"/>
            </w:pPr>
          </w:p>
        </w:tc>
      </w:tr>
      <w:tr w:rsidR="00215E0F" w:rsidTr="005718C9">
        <w:tc>
          <w:tcPr>
            <w:tcW w:w="2538" w:type="dxa"/>
          </w:tcPr>
          <w:p w:rsidR="00215E0F" w:rsidRDefault="00215E0F" w:rsidP="005718C9">
            <w:pPr>
              <w:pStyle w:val="TableText"/>
            </w:pPr>
            <w:r>
              <w:rPr>
                <w:color w:val="000000"/>
                <w:szCs w:val="22"/>
              </w:rPr>
              <w:t xml:space="preserve">Sumas </w:t>
            </w:r>
          </w:p>
        </w:tc>
        <w:tc>
          <w:tcPr>
            <w:tcW w:w="2160" w:type="dxa"/>
            <w:vAlign w:val="bottom"/>
          </w:tcPr>
          <w:p w:rsidR="00215E0F" w:rsidRDefault="006741A9" w:rsidP="005718C9">
            <w:pPr>
              <w:pStyle w:val="TableText"/>
              <w:jc w:val="center"/>
            </w:pPr>
            <w:r>
              <w:t>0.40</w:t>
            </w:r>
            <w:r w:rsidR="00A008D6">
              <w:t>0</w:t>
            </w:r>
          </w:p>
        </w:tc>
        <w:tc>
          <w:tcPr>
            <w:tcW w:w="2250" w:type="dxa"/>
          </w:tcPr>
          <w:p w:rsidR="00215E0F" w:rsidRDefault="001B78C8" w:rsidP="005718C9">
            <w:pPr>
              <w:pStyle w:val="TableText"/>
              <w:jc w:val="center"/>
            </w:pPr>
            <w:r>
              <w:t>0.150</w:t>
            </w:r>
          </w:p>
        </w:tc>
      </w:tr>
      <w:tr w:rsidR="00215E0F" w:rsidTr="005718C9">
        <w:tc>
          <w:tcPr>
            <w:tcW w:w="2538" w:type="dxa"/>
          </w:tcPr>
          <w:p w:rsidR="00215E0F" w:rsidRDefault="00215E0F" w:rsidP="005718C9">
            <w:pPr>
              <w:pStyle w:val="TableText"/>
              <w:rPr>
                <w:highlight w:val="yellow"/>
              </w:rPr>
            </w:pPr>
            <w:r>
              <w:rPr>
                <w:bCs/>
                <w:color w:val="000000"/>
                <w:szCs w:val="22"/>
              </w:rPr>
              <w:t>Lake Whatcom Wa</w:t>
            </w:r>
            <w:r w:rsidR="00F91CFC">
              <w:rPr>
                <w:bCs/>
                <w:color w:val="000000"/>
                <w:szCs w:val="22"/>
              </w:rPr>
              <w:t>ter &amp; Sewer District</w:t>
            </w:r>
          </w:p>
        </w:tc>
        <w:tc>
          <w:tcPr>
            <w:tcW w:w="2160" w:type="dxa"/>
            <w:vAlign w:val="bottom"/>
          </w:tcPr>
          <w:p w:rsidR="00215E0F" w:rsidRDefault="00C53147" w:rsidP="00F91CFC">
            <w:pPr>
              <w:pStyle w:val="TableText"/>
              <w:jc w:val="center"/>
              <w:rPr>
                <w:highlight w:val="yellow"/>
              </w:rPr>
            </w:pPr>
            <w:r>
              <w:t>1.382</w:t>
            </w:r>
          </w:p>
        </w:tc>
        <w:tc>
          <w:tcPr>
            <w:tcW w:w="2250" w:type="dxa"/>
          </w:tcPr>
          <w:p w:rsidR="00215E0F" w:rsidRDefault="00C53147" w:rsidP="00F91CFC">
            <w:pPr>
              <w:pStyle w:val="TableText"/>
              <w:jc w:val="center"/>
            </w:pPr>
            <w:r>
              <w:t>0.444</w:t>
            </w:r>
          </w:p>
        </w:tc>
      </w:tr>
      <w:tr w:rsidR="00215E0F" w:rsidTr="005718C9">
        <w:tc>
          <w:tcPr>
            <w:tcW w:w="2538" w:type="dxa"/>
          </w:tcPr>
          <w:p w:rsidR="00215E0F" w:rsidRDefault="00215E0F" w:rsidP="005718C9">
            <w:pPr>
              <w:pStyle w:val="TableText"/>
              <w:rPr>
                <w:highlight w:val="yellow"/>
              </w:rPr>
            </w:pPr>
            <w:r>
              <w:rPr>
                <w:color w:val="000000"/>
                <w:szCs w:val="22"/>
              </w:rPr>
              <w:t>WC Water District 13</w:t>
            </w:r>
          </w:p>
        </w:tc>
        <w:tc>
          <w:tcPr>
            <w:tcW w:w="2160" w:type="dxa"/>
            <w:vAlign w:val="bottom"/>
          </w:tcPr>
          <w:p w:rsidR="00215E0F" w:rsidRDefault="00215E0F" w:rsidP="005718C9">
            <w:pPr>
              <w:pStyle w:val="TableText"/>
              <w:jc w:val="center"/>
              <w:rPr>
                <w:highlight w:val="yellow"/>
              </w:rPr>
            </w:pPr>
            <w:r>
              <w:t>0.125</w:t>
            </w:r>
          </w:p>
        </w:tc>
        <w:tc>
          <w:tcPr>
            <w:tcW w:w="2250" w:type="dxa"/>
          </w:tcPr>
          <w:p w:rsidR="00215E0F" w:rsidRDefault="00357868" w:rsidP="005718C9">
            <w:pPr>
              <w:pStyle w:val="TableText"/>
              <w:jc w:val="center"/>
            </w:pPr>
            <w:r>
              <w:t>0.039</w:t>
            </w:r>
            <w:r w:rsidR="00215E0F">
              <w:t xml:space="preserve"> </w:t>
            </w:r>
          </w:p>
        </w:tc>
      </w:tr>
    </w:tbl>
    <w:p w:rsidR="00E41F46" w:rsidRDefault="00E41F46" w:rsidP="00E41F46">
      <w:pPr>
        <w:pStyle w:val="TableNotes"/>
        <w:numPr>
          <w:ilvl w:val="0"/>
          <w:numId w:val="35"/>
        </w:numPr>
        <w:ind w:right="810"/>
      </w:pPr>
      <w:r>
        <w:t xml:space="preserve">Per forecast of future flows in </w:t>
      </w:r>
      <w:r w:rsidRPr="00806AF6">
        <w:rPr>
          <w:i/>
        </w:rPr>
        <w:t>Engineering Report for Wastewater Treatment Plant Improvements</w:t>
      </w:r>
      <w:r>
        <w:t xml:space="preserve">, Birch Bay Water and Sewer District, 2012.  The next facility upgrade is planned for completion by 2022 for capacity through year 2032, per the flow and loading forecast in the referenced report.  </w:t>
      </w:r>
    </w:p>
    <w:p w:rsidR="00E41F46" w:rsidRDefault="00E41F46" w:rsidP="00E41F46">
      <w:pPr>
        <w:pStyle w:val="TableNotes"/>
        <w:numPr>
          <w:ilvl w:val="0"/>
          <w:numId w:val="35"/>
        </w:numPr>
        <w:ind w:right="810"/>
      </w:pPr>
      <w:r>
        <w:t>The City of Everson anticipates completing a wastewater treatment plant upgrade in 2016, which will increase the current peak month treatment capacity to 0.441 MGD for Everson and to 0.220 MGD for Nooksack.</w:t>
      </w:r>
    </w:p>
    <w:p w:rsidR="00243DA2" w:rsidRDefault="00243DA2" w:rsidP="00243DA2">
      <w:pPr>
        <w:pStyle w:val="TableNotes"/>
        <w:numPr>
          <w:ilvl w:val="0"/>
          <w:numId w:val="35"/>
        </w:numPr>
        <w:ind w:right="810"/>
      </w:pPr>
      <w:r>
        <w:t>Treatment capacity with planned improvements to the wastewater treatment plant.</w:t>
      </w:r>
    </w:p>
    <w:p w:rsidR="00E41F46" w:rsidRDefault="00E41F46" w:rsidP="00E41F46">
      <w:pPr>
        <w:pStyle w:val="TableNotes"/>
        <w:ind w:left="720" w:right="810"/>
      </w:pPr>
    </w:p>
    <w:p w:rsidR="00215E0F" w:rsidRDefault="00215E0F" w:rsidP="00215E0F">
      <w:pPr>
        <w:pStyle w:val="BodyText"/>
        <w:spacing w:after="0"/>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AF20DF" w:rsidRDefault="00AF20DF" w:rsidP="00215E0F">
      <w:pPr>
        <w:pStyle w:val="BodyText"/>
      </w:pPr>
    </w:p>
    <w:p w:rsidR="00D106A6" w:rsidRDefault="006849EB" w:rsidP="00215E0F">
      <w:pPr>
        <w:pStyle w:val="BodyText"/>
      </w:pPr>
      <w:r w:rsidRPr="006849EB">
        <w:lastRenderedPageBreak/>
        <w:t>The table below identifies projected treatment capacity</w:t>
      </w:r>
      <w:r>
        <w:t xml:space="preserve"> in 2036</w:t>
      </w:r>
      <w:r w:rsidRPr="006849EB">
        <w:t xml:space="preserve"> for each sewer provider that serves a UGA, given planned growth for these areas.</w:t>
      </w:r>
      <w:r w:rsidR="00215E0F">
        <w:t xml:space="preserve"> </w:t>
      </w:r>
    </w:p>
    <w:p w:rsidR="00215E0F" w:rsidRDefault="0016410F" w:rsidP="00215E0F">
      <w:pPr>
        <w:pStyle w:val="Caption"/>
      </w:pPr>
      <w:bookmarkStart w:id="37" w:name="_Toc245621947"/>
      <w:r>
        <w:t>Table 12.4</w:t>
      </w:r>
      <w:r>
        <w:tab/>
      </w:r>
      <w:r w:rsidR="00215E0F">
        <w:t>Sew</w:t>
      </w:r>
      <w:r w:rsidR="00DC396F">
        <w:t>er Treatment Capacity</w:t>
      </w:r>
      <w:r w:rsidR="00215E0F">
        <w:t xml:space="preserve"> </w:t>
      </w:r>
      <w:r w:rsidR="004E7CA7">
        <w:t>2036</w:t>
      </w:r>
      <w:bookmarkEnd w:id="37"/>
    </w:p>
    <w:tbl>
      <w:tblPr>
        <w:tblW w:w="7128" w:type="dxa"/>
        <w:tblBorders>
          <w:top w:val="single" w:sz="4" w:space="0" w:color="1F497D"/>
          <w:bottom w:val="single" w:sz="4" w:space="0" w:color="1F497D"/>
          <w:insideH w:val="single" w:sz="4" w:space="0" w:color="1F497D"/>
          <w:insideV w:val="single" w:sz="4" w:space="0" w:color="1F497D"/>
        </w:tblBorders>
        <w:tblLayout w:type="fixed"/>
        <w:tblLook w:val="04A0" w:firstRow="1" w:lastRow="0" w:firstColumn="1" w:lastColumn="0" w:noHBand="0" w:noVBand="1"/>
      </w:tblPr>
      <w:tblGrid>
        <w:gridCol w:w="2538"/>
        <w:gridCol w:w="2070"/>
        <w:gridCol w:w="2520"/>
      </w:tblGrid>
      <w:tr w:rsidR="00215E0F" w:rsidTr="005718C9">
        <w:trPr>
          <w:trHeight w:val="289"/>
          <w:tblHeader/>
        </w:trPr>
        <w:tc>
          <w:tcPr>
            <w:tcW w:w="2538" w:type="dxa"/>
            <w:vMerge w:val="restart"/>
          </w:tcPr>
          <w:p w:rsidR="00215E0F" w:rsidRDefault="00215E0F" w:rsidP="005718C9">
            <w:pPr>
              <w:pStyle w:val="TableHeader"/>
            </w:pPr>
            <w:r>
              <w:t>Service Provider</w:t>
            </w:r>
          </w:p>
        </w:tc>
        <w:tc>
          <w:tcPr>
            <w:tcW w:w="2070" w:type="dxa"/>
            <w:vMerge w:val="restart"/>
          </w:tcPr>
          <w:p w:rsidR="00215E0F" w:rsidRDefault="00215E0F" w:rsidP="005718C9">
            <w:pPr>
              <w:pStyle w:val="TableHeader"/>
            </w:pPr>
            <w:r>
              <w:t>Current Treatment Capacity (MGD)</w:t>
            </w:r>
          </w:p>
        </w:tc>
        <w:tc>
          <w:tcPr>
            <w:tcW w:w="2520" w:type="dxa"/>
            <w:vMerge w:val="restart"/>
          </w:tcPr>
          <w:p w:rsidR="00215E0F" w:rsidRDefault="004E7CA7" w:rsidP="004E7CA7">
            <w:pPr>
              <w:pStyle w:val="TableHeader"/>
            </w:pPr>
            <w:r>
              <w:t>2036</w:t>
            </w:r>
            <w:r w:rsidR="00215E0F">
              <w:t xml:space="preserve"> Treatment Capacity Surplus (Deficit) expressed in MGD</w:t>
            </w:r>
          </w:p>
        </w:tc>
      </w:tr>
      <w:tr w:rsidR="00215E0F" w:rsidTr="005718C9">
        <w:trPr>
          <w:trHeight w:val="349"/>
          <w:tblHeader/>
        </w:trPr>
        <w:tc>
          <w:tcPr>
            <w:tcW w:w="2538" w:type="dxa"/>
            <w:vMerge/>
          </w:tcPr>
          <w:p w:rsidR="00215E0F" w:rsidRDefault="00215E0F" w:rsidP="005718C9">
            <w:pPr>
              <w:pStyle w:val="TableHeader"/>
            </w:pPr>
          </w:p>
        </w:tc>
        <w:tc>
          <w:tcPr>
            <w:tcW w:w="2070" w:type="dxa"/>
            <w:vMerge/>
          </w:tcPr>
          <w:p w:rsidR="00215E0F" w:rsidRDefault="00215E0F" w:rsidP="005718C9">
            <w:pPr>
              <w:pStyle w:val="TableHeader"/>
            </w:pPr>
          </w:p>
        </w:tc>
        <w:tc>
          <w:tcPr>
            <w:tcW w:w="2520" w:type="dxa"/>
            <w:vMerge/>
          </w:tcPr>
          <w:p w:rsidR="00215E0F" w:rsidRDefault="00215E0F" w:rsidP="005718C9">
            <w:pPr>
              <w:pStyle w:val="TableHeader"/>
            </w:pPr>
          </w:p>
        </w:tc>
      </w:tr>
      <w:tr w:rsidR="00215E0F" w:rsidTr="005718C9">
        <w:tc>
          <w:tcPr>
            <w:tcW w:w="2538" w:type="dxa"/>
          </w:tcPr>
          <w:p w:rsidR="00215E0F" w:rsidRDefault="00215E0F" w:rsidP="005718C9">
            <w:pPr>
              <w:pStyle w:val="TableText"/>
              <w:rPr>
                <w:highlight w:val="yellow"/>
              </w:rPr>
            </w:pPr>
            <w:r>
              <w:rPr>
                <w:color w:val="000000"/>
                <w:szCs w:val="22"/>
              </w:rPr>
              <w:t>Bellingham</w:t>
            </w:r>
          </w:p>
        </w:tc>
        <w:tc>
          <w:tcPr>
            <w:tcW w:w="2070" w:type="dxa"/>
            <w:vAlign w:val="bottom"/>
          </w:tcPr>
          <w:p w:rsidR="00215E0F" w:rsidRDefault="00DF3139" w:rsidP="005718C9">
            <w:pPr>
              <w:pStyle w:val="TableText"/>
              <w:jc w:val="center"/>
              <w:rPr>
                <w:highlight w:val="yellow"/>
              </w:rPr>
            </w:pPr>
            <w:r>
              <w:t>34.3</w:t>
            </w:r>
            <w:r w:rsidR="001E1C34">
              <w:t>00</w:t>
            </w:r>
          </w:p>
        </w:tc>
        <w:tc>
          <w:tcPr>
            <w:tcW w:w="2520" w:type="dxa"/>
          </w:tcPr>
          <w:p w:rsidR="00215E0F" w:rsidRDefault="00CB7531" w:rsidP="005718C9">
            <w:pPr>
              <w:pStyle w:val="TableText"/>
              <w:jc w:val="center"/>
            </w:pPr>
            <w:r>
              <w:t>.800</w:t>
            </w:r>
          </w:p>
        </w:tc>
      </w:tr>
      <w:tr w:rsidR="00215E0F" w:rsidTr="005718C9">
        <w:tc>
          <w:tcPr>
            <w:tcW w:w="2538" w:type="dxa"/>
          </w:tcPr>
          <w:p w:rsidR="00215E0F" w:rsidRDefault="00215E0F" w:rsidP="005718C9">
            <w:pPr>
              <w:pStyle w:val="TableText"/>
              <w:rPr>
                <w:highlight w:val="yellow"/>
              </w:rPr>
            </w:pPr>
            <w:r>
              <w:rPr>
                <w:bCs/>
                <w:szCs w:val="22"/>
              </w:rPr>
              <w:t>Birch Bay Water &amp; Sewer</w:t>
            </w:r>
          </w:p>
        </w:tc>
        <w:tc>
          <w:tcPr>
            <w:tcW w:w="2070" w:type="dxa"/>
            <w:vAlign w:val="bottom"/>
          </w:tcPr>
          <w:p w:rsidR="00215E0F" w:rsidRDefault="00733CE1" w:rsidP="005718C9">
            <w:pPr>
              <w:pStyle w:val="TableText"/>
              <w:jc w:val="center"/>
              <w:rPr>
                <w:highlight w:val="yellow"/>
              </w:rPr>
            </w:pPr>
            <w:r>
              <w:t>1.44</w:t>
            </w:r>
          </w:p>
        </w:tc>
        <w:tc>
          <w:tcPr>
            <w:tcW w:w="2520" w:type="dxa"/>
          </w:tcPr>
          <w:p w:rsidR="00215E0F" w:rsidRDefault="00733CE1" w:rsidP="005718C9">
            <w:pPr>
              <w:pStyle w:val="TableText"/>
              <w:jc w:val="center"/>
            </w:pPr>
            <w:r>
              <w:t>(</w:t>
            </w:r>
            <w:r w:rsidR="00215E0F">
              <w:t>0.5</w:t>
            </w:r>
            <w:r>
              <w:t>0)</w:t>
            </w:r>
            <w:r w:rsidR="00F01DB0">
              <w:rPr>
                <w:color w:val="000000"/>
                <w:szCs w:val="22"/>
                <w:vertAlign w:val="superscript"/>
              </w:rPr>
              <w:t>1</w:t>
            </w:r>
          </w:p>
        </w:tc>
      </w:tr>
      <w:tr w:rsidR="00215E0F" w:rsidTr="005718C9">
        <w:tc>
          <w:tcPr>
            <w:tcW w:w="2538" w:type="dxa"/>
          </w:tcPr>
          <w:p w:rsidR="00215E0F" w:rsidRDefault="00215E0F" w:rsidP="004E7CA7">
            <w:pPr>
              <w:pStyle w:val="TableText"/>
              <w:rPr>
                <w:highlight w:val="yellow"/>
              </w:rPr>
            </w:pPr>
            <w:r>
              <w:rPr>
                <w:color w:val="000000"/>
                <w:szCs w:val="22"/>
              </w:rPr>
              <w:t xml:space="preserve">Blaine </w:t>
            </w:r>
          </w:p>
        </w:tc>
        <w:tc>
          <w:tcPr>
            <w:tcW w:w="2070" w:type="dxa"/>
            <w:vAlign w:val="bottom"/>
          </w:tcPr>
          <w:p w:rsidR="00215E0F" w:rsidRDefault="00087407" w:rsidP="005718C9">
            <w:pPr>
              <w:pStyle w:val="TableText"/>
              <w:jc w:val="center"/>
              <w:rPr>
                <w:highlight w:val="yellow"/>
              </w:rPr>
            </w:pPr>
            <w:r>
              <w:t>1.54</w:t>
            </w:r>
          </w:p>
        </w:tc>
        <w:tc>
          <w:tcPr>
            <w:tcW w:w="2520" w:type="dxa"/>
          </w:tcPr>
          <w:p w:rsidR="00215E0F" w:rsidRDefault="00087407" w:rsidP="005718C9">
            <w:pPr>
              <w:pStyle w:val="TableText"/>
              <w:jc w:val="center"/>
            </w:pPr>
            <w:r>
              <w:t>0.39</w:t>
            </w:r>
          </w:p>
        </w:tc>
      </w:tr>
      <w:tr w:rsidR="00215E0F" w:rsidTr="005718C9">
        <w:tc>
          <w:tcPr>
            <w:tcW w:w="2538" w:type="dxa"/>
          </w:tcPr>
          <w:p w:rsidR="00215E0F" w:rsidRDefault="00215E0F" w:rsidP="00B91651">
            <w:pPr>
              <w:pStyle w:val="TableText"/>
              <w:rPr>
                <w:highlight w:val="yellow"/>
              </w:rPr>
            </w:pPr>
            <w:r>
              <w:rPr>
                <w:color w:val="000000"/>
                <w:szCs w:val="22"/>
              </w:rPr>
              <w:t xml:space="preserve">Everson </w:t>
            </w:r>
          </w:p>
        </w:tc>
        <w:tc>
          <w:tcPr>
            <w:tcW w:w="2070" w:type="dxa"/>
            <w:vAlign w:val="bottom"/>
          </w:tcPr>
          <w:p w:rsidR="00215E0F" w:rsidRPr="00F01DB0" w:rsidRDefault="004E7CA7" w:rsidP="00F01DB0">
            <w:pPr>
              <w:pStyle w:val="TableText"/>
              <w:jc w:val="center"/>
            </w:pPr>
            <w:r>
              <w:t>0.44</w:t>
            </w:r>
            <w:r w:rsidR="00F01DB0">
              <w:t>1</w:t>
            </w:r>
            <w:r w:rsidR="00B91651">
              <w:rPr>
                <w:color w:val="000000"/>
                <w:szCs w:val="22"/>
                <w:vertAlign w:val="superscript"/>
              </w:rPr>
              <w:t>2</w:t>
            </w:r>
          </w:p>
        </w:tc>
        <w:tc>
          <w:tcPr>
            <w:tcW w:w="2520" w:type="dxa"/>
          </w:tcPr>
          <w:p w:rsidR="00215E0F" w:rsidRDefault="00F01DB0" w:rsidP="00F01DB0">
            <w:pPr>
              <w:pStyle w:val="TableText"/>
              <w:jc w:val="center"/>
            </w:pPr>
            <w:r>
              <w:t>0.000</w:t>
            </w:r>
          </w:p>
        </w:tc>
      </w:tr>
      <w:tr w:rsidR="00215E0F" w:rsidTr="005718C9">
        <w:tc>
          <w:tcPr>
            <w:tcW w:w="2538" w:type="dxa"/>
          </w:tcPr>
          <w:p w:rsidR="00215E0F" w:rsidRDefault="00215E0F" w:rsidP="004E7CA7">
            <w:pPr>
              <w:pStyle w:val="TableText"/>
              <w:rPr>
                <w:highlight w:val="yellow"/>
              </w:rPr>
            </w:pPr>
            <w:r>
              <w:rPr>
                <w:bCs/>
                <w:color w:val="000000"/>
                <w:szCs w:val="22"/>
              </w:rPr>
              <w:t xml:space="preserve">Ferndale </w:t>
            </w:r>
          </w:p>
        </w:tc>
        <w:tc>
          <w:tcPr>
            <w:tcW w:w="2070" w:type="dxa"/>
            <w:vAlign w:val="bottom"/>
          </w:tcPr>
          <w:p w:rsidR="00215E0F" w:rsidRDefault="00E331EB" w:rsidP="005718C9">
            <w:pPr>
              <w:pStyle w:val="TableText"/>
              <w:jc w:val="center"/>
              <w:rPr>
                <w:highlight w:val="yellow"/>
              </w:rPr>
            </w:pPr>
            <w:r>
              <w:t>6.37</w:t>
            </w:r>
            <w:r w:rsidR="00F01DB0">
              <w:rPr>
                <w:color w:val="000000"/>
                <w:szCs w:val="22"/>
                <w:vertAlign w:val="superscript"/>
              </w:rPr>
              <w:t>3</w:t>
            </w:r>
          </w:p>
        </w:tc>
        <w:tc>
          <w:tcPr>
            <w:tcW w:w="2520" w:type="dxa"/>
          </w:tcPr>
          <w:p w:rsidR="00215E0F" w:rsidRDefault="00113D0A" w:rsidP="005718C9">
            <w:pPr>
              <w:pStyle w:val="TableText"/>
              <w:jc w:val="center"/>
            </w:pPr>
            <w:r>
              <w:t>2.27</w:t>
            </w:r>
          </w:p>
        </w:tc>
      </w:tr>
      <w:tr w:rsidR="00215E0F" w:rsidTr="005718C9">
        <w:tc>
          <w:tcPr>
            <w:tcW w:w="2538" w:type="dxa"/>
          </w:tcPr>
          <w:p w:rsidR="00215E0F" w:rsidRPr="00E41DA7" w:rsidRDefault="00215E0F" w:rsidP="005718C9">
            <w:pPr>
              <w:pStyle w:val="TableText"/>
            </w:pPr>
            <w:r w:rsidRPr="00E41DA7">
              <w:rPr>
                <w:color w:val="000000"/>
                <w:szCs w:val="22"/>
              </w:rPr>
              <w:t>Lynden</w:t>
            </w:r>
          </w:p>
        </w:tc>
        <w:tc>
          <w:tcPr>
            <w:tcW w:w="2070" w:type="dxa"/>
            <w:vAlign w:val="bottom"/>
          </w:tcPr>
          <w:p w:rsidR="00215E0F" w:rsidRPr="00E41DA7" w:rsidRDefault="00215E0F" w:rsidP="005718C9">
            <w:pPr>
              <w:pStyle w:val="TableText"/>
              <w:jc w:val="center"/>
            </w:pPr>
            <w:r w:rsidRPr="00E41DA7">
              <w:t>2.18</w:t>
            </w:r>
          </w:p>
        </w:tc>
        <w:tc>
          <w:tcPr>
            <w:tcW w:w="2520" w:type="dxa"/>
          </w:tcPr>
          <w:p w:rsidR="00215E0F" w:rsidRPr="00E41DA7" w:rsidRDefault="00C41BF4" w:rsidP="005718C9">
            <w:pPr>
              <w:pStyle w:val="TableText"/>
              <w:jc w:val="center"/>
            </w:pPr>
            <w:r>
              <w:t>0.13</w:t>
            </w:r>
          </w:p>
        </w:tc>
      </w:tr>
      <w:tr w:rsidR="00215E0F" w:rsidTr="005718C9">
        <w:tc>
          <w:tcPr>
            <w:tcW w:w="2538" w:type="dxa"/>
          </w:tcPr>
          <w:p w:rsidR="00215E0F" w:rsidRDefault="00215E0F" w:rsidP="004E7CA7">
            <w:pPr>
              <w:pStyle w:val="TableText"/>
            </w:pPr>
            <w:r>
              <w:rPr>
                <w:color w:val="000000"/>
                <w:szCs w:val="22"/>
              </w:rPr>
              <w:t xml:space="preserve">Nooksack </w:t>
            </w:r>
          </w:p>
        </w:tc>
        <w:tc>
          <w:tcPr>
            <w:tcW w:w="2070" w:type="dxa"/>
            <w:vAlign w:val="bottom"/>
          </w:tcPr>
          <w:p w:rsidR="001C4B93" w:rsidRDefault="004E7CA7" w:rsidP="004E7CA7">
            <w:pPr>
              <w:pStyle w:val="TableText"/>
              <w:jc w:val="center"/>
            </w:pPr>
            <w:r>
              <w:t>0.22</w:t>
            </w:r>
            <w:r w:rsidR="001C4B93">
              <w:t>0</w:t>
            </w:r>
            <w:r w:rsidR="00B91651">
              <w:rPr>
                <w:color w:val="000000"/>
                <w:szCs w:val="22"/>
                <w:vertAlign w:val="superscript"/>
              </w:rPr>
              <w:t>2</w:t>
            </w:r>
          </w:p>
          <w:p w:rsidR="00215E0F" w:rsidRDefault="00215E0F" w:rsidP="004E7CA7">
            <w:pPr>
              <w:pStyle w:val="TableText"/>
              <w:jc w:val="center"/>
              <w:rPr>
                <w:highlight w:val="yellow"/>
              </w:rPr>
            </w:pPr>
          </w:p>
        </w:tc>
        <w:tc>
          <w:tcPr>
            <w:tcW w:w="2520" w:type="dxa"/>
          </w:tcPr>
          <w:p w:rsidR="001C4B93" w:rsidRDefault="001C4B93" w:rsidP="004E7CA7">
            <w:pPr>
              <w:pStyle w:val="TableText"/>
              <w:jc w:val="center"/>
            </w:pPr>
            <w:r>
              <w:t>0.000</w:t>
            </w:r>
          </w:p>
          <w:p w:rsidR="00215E0F" w:rsidRPr="00D1574C" w:rsidRDefault="00215E0F" w:rsidP="004E7CA7">
            <w:pPr>
              <w:pStyle w:val="TableText"/>
              <w:jc w:val="center"/>
            </w:pPr>
          </w:p>
        </w:tc>
      </w:tr>
      <w:tr w:rsidR="00215E0F" w:rsidTr="005718C9">
        <w:tc>
          <w:tcPr>
            <w:tcW w:w="2538" w:type="dxa"/>
          </w:tcPr>
          <w:p w:rsidR="00215E0F" w:rsidRDefault="00215E0F" w:rsidP="005718C9">
            <w:pPr>
              <w:pStyle w:val="TableText"/>
            </w:pPr>
            <w:r>
              <w:rPr>
                <w:color w:val="000000"/>
                <w:szCs w:val="22"/>
              </w:rPr>
              <w:t xml:space="preserve">Sumas </w:t>
            </w:r>
          </w:p>
        </w:tc>
        <w:tc>
          <w:tcPr>
            <w:tcW w:w="2070" w:type="dxa"/>
            <w:vAlign w:val="bottom"/>
          </w:tcPr>
          <w:p w:rsidR="00215E0F" w:rsidRDefault="006741A9" w:rsidP="005718C9">
            <w:pPr>
              <w:pStyle w:val="TableText"/>
              <w:jc w:val="center"/>
              <w:rPr>
                <w:highlight w:val="yellow"/>
              </w:rPr>
            </w:pPr>
            <w:r>
              <w:t>0.40</w:t>
            </w:r>
            <w:r w:rsidR="00A008D6">
              <w:t>0</w:t>
            </w:r>
          </w:p>
        </w:tc>
        <w:tc>
          <w:tcPr>
            <w:tcW w:w="2520" w:type="dxa"/>
          </w:tcPr>
          <w:p w:rsidR="00215E0F" w:rsidRPr="000849FA" w:rsidRDefault="001B78C8" w:rsidP="005718C9">
            <w:pPr>
              <w:pStyle w:val="TableText"/>
              <w:jc w:val="center"/>
            </w:pPr>
            <w:r>
              <w:t>0.105</w:t>
            </w:r>
          </w:p>
        </w:tc>
      </w:tr>
      <w:tr w:rsidR="00215E0F" w:rsidTr="005718C9">
        <w:tc>
          <w:tcPr>
            <w:tcW w:w="2538" w:type="dxa"/>
          </w:tcPr>
          <w:p w:rsidR="00215E0F" w:rsidRDefault="00215E0F" w:rsidP="005718C9">
            <w:pPr>
              <w:pStyle w:val="TableText"/>
              <w:rPr>
                <w:highlight w:val="yellow"/>
              </w:rPr>
            </w:pPr>
            <w:r>
              <w:rPr>
                <w:bCs/>
                <w:color w:val="000000"/>
                <w:szCs w:val="22"/>
              </w:rPr>
              <w:t>Lake Whatcom Wa</w:t>
            </w:r>
            <w:r w:rsidR="00F91CFC">
              <w:rPr>
                <w:bCs/>
                <w:color w:val="000000"/>
                <w:szCs w:val="22"/>
              </w:rPr>
              <w:t>ter &amp; Sewer District</w:t>
            </w:r>
          </w:p>
        </w:tc>
        <w:tc>
          <w:tcPr>
            <w:tcW w:w="2070" w:type="dxa"/>
            <w:vAlign w:val="bottom"/>
          </w:tcPr>
          <w:p w:rsidR="00215E0F" w:rsidRDefault="00C53147" w:rsidP="005718C9">
            <w:pPr>
              <w:pStyle w:val="TableText"/>
              <w:jc w:val="center"/>
              <w:rPr>
                <w:highlight w:val="yellow"/>
              </w:rPr>
            </w:pPr>
            <w:r>
              <w:t>1.382</w:t>
            </w:r>
          </w:p>
        </w:tc>
        <w:tc>
          <w:tcPr>
            <w:tcW w:w="2520" w:type="dxa"/>
          </w:tcPr>
          <w:p w:rsidR="00F91CFC" w:rsidRDefault="00F91CFC" w:rsidP="005718C9">
            <w:pPr>
              <w:pStyle w:val="TableText"/>
              <w:jc w:val="center"/>
            </w:pPr>
          </w:p>
          <w:p w:rsidR="00215E0F" w:rsidRDefault="00C53147" w:rsidP="005718C9">
            <w:pPr>
              <w:pStyle w:val="TableText"/>
              <w:jc w:val="center"/>
            </w:pPr>
            <w:r>
              <w:t>0.265</w:t>
            </w:r>
          </w:p>
        </w:tc>
      </w:tr>
      <w:tr w:rsidR="00215E0F" w:rsidTr="005718C9">
        <w:tc>
          <w:tcPr>
            <w:tcW w:w="2538" w:type="dxa"/>
          </w:tcPr>
          <w:p w:rsidR="00215E0F" w:rsidRDefault="00215E0F" w:rsidP="005718C9">
            <w:pPr>
              <w:pStyle w:val="TableText"/>
              <w:rPr>
                <w:highlight w:val="yellow"/>
              </w:rPr>
            </w:pPr>
            <w:r>
              <w:rPr>
                <w:color w:val="000000"/>
                <w:szCs w:val="22"/>
              </w:rPr>
              <w:t>WC Water District 13</w:t>
            </w:r>
          </w:p>
        </w:tc>
        <w:tc>
          <w:tcPr>
            <w:tcW w:w="2070" w:type="dxa"/>
            <w:vAlign w:val="bottom"/>
          </w:tcPr>
          <w:p w:rsidR="00215E0F" w:rsidRDefault="00215E0F" w:rsidP="005718C9">
            <w:pPr>
              <w:pStyle w:val="TableText"/>
              <w:jc w:val="center"/>
              <w:rPr>
                <w:highlight w:val="yellow"/>
              </w:rPr>
            </w:pPr>
            <w:r>
              <w:t>0.125</w:t>
            </w:r>
          </w:p>
        </w:tc>
        <w:tc>
          <w:tcPr>
            <w:tcW w:w="2520" w:type="dxa"/>
          </w:tcPr>
          <w:p w:rsidR="00215E0F" w:rsidRDefault="00357868" w:rsidP="005718C9">
            <w:pPr>
              <w:pStyle w:val="TableText"/>
              <w:jc w:val="center"/>
            </w:pPr>
            <w:r>
              <w:t>0.006</w:t>
            </w:r>
            <w:r w:rsidR="00215E0F">
              <w:t xml:space="preserve"> </w:t>
            </w:r>
          </w:p>
        </w:tc>
      </w:tr>
    </w:tbl>
    <w:p w:rsidR="004E7CA7" w:rsidRDefault="004E7CA7" w:rsidP="00215E0F">
      <w:pPr>
        <w:pStyle w:val="TableNotes"/>
        <w:ind w:left="360" w:right="810" w:hanging="360"/>
      </w:pPr>
    </w:p>
    <w:p w:rsidR="00F01DB0" w:rsidRDefault="00F01DB0" w:rsidP="004E7CA7">
      <w:pPr>
        <w:pStyle w:val="TableNotes"/>
        <w:numPr>
          <w:ilvl w:val="0"/>
          <w:numId w:val="38"/>
        </w:numPr>
        <w:ind w:right="810"/>
      </w:pPr>
      <w:r>
        <w:t xml:space="preserve">The </w:t>
      </w:r>
      <w:r w:rsidRPr="00771449">
        <w:rPr>
          <w:i/>
        </w:rPr>
        <w:t>Engineering Report for Wastewater Treatment Plant Improvements</w:t>
      </w:r>
      <w:r>
        <w:t xml:space="preserve">, Birch Bay Water and Sewer District, 2012, forecasts flow in year 2032 as 1.80 MGD, resulting in an apparent deficit of 0.36 MGD at that time. </w:t>
      </w:r>
      <w:r w:rsidR="000B60C7">
        <w:t>The forecast flow in 2032 is extrapolated to 2036 for the analysis above.</w:t>
      </w:r>
      <w:r>
        <w:t xml:space="preserve"> The 2012 report recommends capacity upgrade by 2022 to maintain adequate capacity. The 2012 report will be updated prior to that upgrade to assure the upgrade is implemented for then-current flow and loading forecasts, including provision of adequate capacity for year 2036</w:t>
      </w:r>
    </w:p>
    <w:p w:rsidR="004E7CA7" w:rsidRDefault="004E7CA7" w:rsidP="004E7CA7">
      <w:pPr>
        <w:pStyle w:val="TableNotes"/>
        <w:numPr>
          <w:ilvl w:val="0"/>
          <w:numId w:val="38"/>
        </w:numPr>
        <w:ind w:right="810"/>
      </w:pPr>
      <w:r>
        <w:t>The City of Everson anticipates completing a wastewater treatment plant upgrade in 2016, which will increase the current peak month treatment capacity to 0.44</w:t>
      </w:r>
      <w:r w:rsidR="006741A9">
        <w:t>1</w:t>
      </w:r>
      <w:r>
        <w:t xml:space="preserve"> MGD for Everson and to 0.22</w:t>
      </w:r>
      <w:r w:rsidR="006741A9">
        <w:t>0</w:t>
      </w:r>
      <w:r>
        <w:t xml:space="preserve"> MGD for Nooksack.</w:t>
      </w:r>
    </w:p>
    <w:p w:rsidR="00F8660C" w:rsidRPr="00E331EB" w:rsidRDefault="00E331EB" w:rsidP="00D106A6">
      <w:pPr>
        <w:pStyle w:val="TableNotes"/>
        <w:numPr>
          <w:ilvl w:val="0"/>
          <w:numId w:val="38"/>
        </w:numPr>
        <w:ind w:right="810"/>
      </w:pPr>
      <w:r>
        <w:t>Treatment capacity with planned improvements to the wastewater treatment plant.</w:t>
      </w:r>
    </w:p>
    <w:p w:rsidR="00215E0F" w:rsidRDefault="00193878" w:rsidP="00215E0F">
      <w:pPr>
        <w:pStyle w:val="Heading3"/>
      </w:pPr>
      <w:bookmarkStart w:id="38" w:name="_Toc245621848"/>
      <w:r>
        <w:t xml:space="preserve">Population and </w:t>
      </w:r>
      <w:r w:rsidR="00215E0F">
        <w:t>Capital Projects</w:t>
      </w:r>
      <w:bookmarkEnd w:id="38"/>
    </w:p>
    <w:p w:rsidR="00215E0F" w:rsidRDefault="00215E0F" w:rsidP="00215E0F">
      <w:pPr>
        <w:pStyle w:val="Heading4"/>
      </w:pPr>
      <w:r>
        <w:t>Population</w:t>
      </w:r>
    </w:p>
    <w:p w:rsidR="00215E0F" w:rsidRDefault="00215E0F" w:rsidP="00215E0F">
      <w:pPr>
        <w:pStyle w:val="BodyText"/>
      </w:pPr>
      <w:r>
        <w:t>T</w:t>
      </w:r>
      <w:r w:rsidR="00D106A6">
        <w:t>he table</w:t>
      </w:r>
      <w:r>
        <w:t xml:space="preserve"> below identifies each sewe</w:t>
      </w:r>
      <w:r w:rsidR="00B91651">
        <w:t>r provider’s latest sewer plan</w:t>
      </w:r>
      <w:r>
        <w:t xml:space="preserve"> horizon year and population, as well as</w:t>
      </w:r>
      <w:r w:rsidR="00B91651">
        <w:t xml:space="preserve"> the </w:t>
      </w:r>
      <w:r>
        <w:t xml:space="preserve">County’s </w:t>
      </w:r>
      <w:r w:rsidR="00390313">
        <w:t>2036</w:t>
      </w:r>
      <w:r>
        <w:t xml:space="preserve"> population projection. This table serves to provide an order of magnitude check with respect to the population that each service provider is planning on serv</w:t>
      </w:r>
      <w:r w:rsidR="006741A9">
        <w:t xml:space="preserve">ing in comparison to the </w:t>
      </w:r>
      <w:r>
        <w:t xml:space="preserve">population projections for the </w:t>
      </w:r>
      <w:r w:rsidR="00390313">
        <w:t>2036</w:t>
      </w:r>
      <w:r w:rsidR="006741A9">
        <w:t xml:space="preserve"> Whatcom County Comprehensive Plan</w:t>
      </w:r>
      <w:r>
        <w:t>.</w:t>
      </w:r>
    </w:p>
    <w:p w:rsidR="00D106A6" w:rsidRDefault="00D106A6" w:rsidP="00215E0F">
      <w:pPr>
        <w:pStyle w:val="BodyText"/>
      </w:pPr>
    </w:p>
    <w:p w:rsidR="00D106A6" w:rsidRDefault="00D106A6" w:rsidP="00215E0F">
      <w:pPr>
        <w:pStyle w:val="BodyText"/>
      </w:pPr>
    </w:p>
    <w:p w:rsidR="00D106A6" w:rsidRDefault="00D106A6" w:rsidP="00215E0F">
      <w:pPr>
        <w:pStyle w:val="BodyText"/>
      </w:pPr>
    </w:p>
    <w:p w:rsidR="00F91CFC" w:rsidRDefault="00F91CFC" w:rsidP="00215E0F">
      <w:pPr>
        <w:pStyle w:val="BodyText"/>
      </w:pPr>
    </w:p>
    <w:p w:rsidR="00215E0F" w:rsidRDefault="0016410F" w:rsidP="00215E0F">
      <w:pPr>
        <w:pStyle w:val="Caption"/>
      </w:pPr>
      <w:bookmarkStart w:id="39" w:name="_Toc245621948"/>
      <w:r>
        <w:lastRenderedPageBreak/>
        <w:t>Table 12.5</w:t>
      </w:r>
      <w:r>
        <w:tab/>
      </w:r>
      <w:r w:rsidR="00215E0F">
        <w:t xml:space="preserve">Population </w:t>
      </w:r>
      <w:r w:rsidR="00D106A6">
        <w:t>Comparison: Sewer Plans and 2036</w:t>
      </w:r>
      <w:r w:rsidR="00215E0F">
        <w:t xml:space="preserve"> Population Projection</w:t>
      </w:r>
      <w:bookmarkEnd w:id="39"/>
    </w:p>
    <w:tbl>
      <w:tblPr>
        <w:tblW w:w="7920" w:type="dxa"/>
        <w:tblInd w:w="115" w:type="dxa"/>
        <w:tblBorders>
          <w:top w:val="single" w:sz="4" w:space="0" w:color="003366"/>
          <w:bottom w:val="single" w:sz="4" w:space="0" w:color="003366"/>
        </w:tblBorders>
        <w:tblLayout w:type="fixed"/>
        <w:tblCellMar>
          <w:left w:w="115" w:type="dxa"/>
          <w:right w:w="115" w:type="dxa"/>
        </w:tblCellMar>
        <w:tblLook w:val="01E0" w:firstRow="1" w:lastRow="1" w:firstColumn="1" w:lastColumn="1" w:noHBand="0" w:noVBand="0"/>
      </w:tblPr>
      <w:tblGrid>
        <w:gridCol w:w="1890"/>
        <w:gridCol w:w="1710"/>
        <w:gridCol w:w="2070"/>
        <w:gridCol w:w="2250"/>
      </w:tblGrid>
      <w:tr w:rsidR="00215E0F" w:rsidTr="005718C9">
        <w:trPr>
          <w:tblHeader/>
        </w:trPr>
        <w:tc>
          <w:tcPr>
            <w:tcW w:w="1890" w:type="dxa"/>
            <w:tcBorders>
              <w:top w:val="single" w:sz="4" w:space="0" w:color="003366"/>
              <w:bottom w:val="single" w:sz="4" w:space="0" w:color="003366"/>
            </w:tcBorders>
            <w:vAlign w:val="bottom"/>
          </w:tcPr>
          <w:p w:rsidR="00215E0F" w:rsidRDefault="00215E0F" w:rsidP="005718C9">
            <w:pPr>
              <w:pStyle w:val="TableHeader"/>
            </w:pPr>
            <w:r>
              <w:t>Service Provider</w:t>
            </w:r>
          </w:p>
        </w:tc>
        <w:tc>
          <w:tcPr>
            <w:tcW w:w="1710" w:type="dxa"/>
            <w:tcBorders>
              <w:top w:val="single" w:sz="4" w:space="0" w:color="003366"/>
              <w:bottom w:val="single" w:sz="4" w:space="0" w:color="003366"/>
            </w:tcBorders>
            <w:vAlign w:val="bottom"/>
          </w:tcPr>
          <w:p w:rsidR="00215E0F" w:rsidRDefault="00215E0F" w:rsidP="005718C9">
            <w:pPr>
              <w:pStyle w:val="TableHeader"/>
            </w:pPr>
            <w:r>
              <w:t>Horizon year of Capital Plan</w:t>
            </w:r>
          </w:p>
        </w:tc>
        <w:tc>
          <w:tcPr>
            <w:tcW w:w="2070" w:type="dxa"/>
            <w:tcBorders>
              <w:top w:val="single" w:sz="4" w:space="0" w:color="003366"/>
              <w:bottom w:val="single" w:sz="4" w:space="0" w:color="003366"/>
            </w:tcBorders>
            <w:vAlign w:val="bottom"/>
          </w:tcPr>
          <w:p w:rsidR="00215E0F" w:rsidRDefault="00215E0F" w:rsidP="005718C9">
            <w:pPr>
              <w:pStyle w:val="TableHeader"/>
            </w:pPr>
            <w:r>
              <w:t>Capital Plan Population</w:t>
            </w:r>
          </w:p>
        </w:tc>
        <w:tc>
          <w:tcPr>
            <w:tcW w:w="2250" w:type="dxa"/>
            <w:tcBorders>
              <w:top w:val="single" w:sz="4" w:space="0" w:color="003366"/>
              <w:bottom w:val="single" w:sz="4" w:space="0" w:color="003366"/>
            </w:tcBorders>
          </w:tcPr>
          <w:p w:rsidR="00733CE1" w:rsidRDefault="00733CE1" w:rsidP="00390313">
            <w:pPr>
              <w:pStyle w:val="TableHeader"/>
            </w:pPr>
            <w:r>
              <w:t xml:space="preserve">County’s </w:t>
            </w:r>
            <w:r w:rsidR="00390313">
              <w:t>2036</w:t>
            </w:r>
            <w:r w:rsidR="00215E0F">
              <w:t xml:space="preserve"> </w:t>
            </w:r>
          </w:p>
          <w:p w:rsidR="00215E0F" w:rsidRDefault="00215E0F" w:rsidP="00390313">
            <w:pPr>
              <w:pStyle w:val="TableHeader"/>
            </w:pPr>
            <w:r>
              <w:t>Population Projection</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Bellingham</w:t>
            </w:r>
          </w:p>
        </w:tc>
        <w:tc>
          <w:tcPr>
            <w:tcW w:w="1710" w:type="dxa"/>
            <w:tcBorders>
              <w:top w:val="single" w:sz="4" w:space="0" w:color="003366"/>
              <w:bottom w:val="single" w:sz="4" w:space="0" w:color="003366"/>
            </w:tcBorders>
          </w:tcPr>
          <w:p w:rsidR="00215E0F" w:rsidRDefault="00215E0F" w:rsidP="005718C9">
            <w:pPr>
              <w:pStyle w:val="TableText"/>
              <w:jc w:val="center"/>
            </w:pPr>
            <w:r>
              <w:t>2026</w:t>
            </w:r>
          </w:p>
        </w:tc>
        <w:tc>
          <w:tcPr>
            <w:tcW w:w="2070" w:type="dxa"/>
            <w:tcBorders>
              <w:top w:val="single" w:sz="4" w:space="0" w:color="003366"/>
              <w:bottom w:val="single" w:sz="4" w:space="0" w:color="003366"/>
            </w:tcBorders>
          </w:tcPr>
          <w:p w:rsidR="00215E0F" w:rsidRDefault="00215E0F" w:rsidP="005718C9">
            <w:pPr>
              <w:pStyle w:val="TableText"/>
              <w:jc w:val="center"/>
            </w:pPr>
            <w:r>
              <w:t>122,007</w:t>
            </w:r>
          </w:p>
        </w:tc>
        <w:tc>
          <w:tcPr>
            <w:tcW w:w="2250" w:type="dxa"/>
            <w:tcBorders>
              <w:top w:val="single" w:sz="4" w:space="0" w:color="003366"/>
              <w:bottom w:val="single" w:sz="4" w:space="0" w:color="003366"/>
            </w:tcBorders>
          </w:tcPr>
          <w:p w:rsidR="00215E0F" w:rsidRDefault="008E4D94" w:rsidP="005718C9">
            <w:pPr>
              <w:pStyle w:val="TableText"/>
              <w:jc w:val="center"/>
            </w:pPr>
            <w:r>
              <w:t>123,710</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Birch Bay Water and Sewer</w:t>
            </w:r>
          </w:p>
        </w:tc>
        <w:tc>
          <w:tcPr>
            <w:tcW w:w="1710" w:type="dxa"/>
            <w:tcBorders>
              <w:top w:val="single" w:sz="4" w:space="0" w:color="003366"/>
              <w:bottom w:val="single" w:sz="4" w:space="0" w:color="003366"/>
            </w:tcBorders>
          </w:tcPr>
          <w:p w:rsidR="00215E0F" w:rsidRDefault="00733CE1" w:rsidP="005718C9">
            <w:pPr>
              <w:pStyle w:val="TableText"/>
              <w:jc w:val="center"/>
            </w:pPr>
            <w:r>
              <w:t>2036</w:t>
            </w:r>
          </w:p>
        </w:tc>
        <w:tc>
          <w:tcPr>
            <w:tcW w:w="2070" w:type="dxa"/>
            <w:tcBorders>
              <w:top w:val="single" w:sz="4" w:space="0" w:color="003366"/>
              <w:bottom w:val="single" w:sz="4" w:space="0" w:color="003366"/>
            </w:tcBorders>
          </w:tcPr>
          <w:p w:rsidR="00215E0F" w:rsidRDefault="00905F23" w:rsidP="005718C9">
            <w:pPr>
              <w:pStyle w:val="TableText"/>
              <w:jc w:val="center"/>
            </w:pPr>
            <w:r>
              <w:t>13,578</w:t>
            </w:r>
          </w:p>
        </w:tc>
        <w:tc>
          <w:tcPr>
            <w:tcW w:w="2250" w:type="dxa"/>
            <w:tcBorders>
              <w:top w:val="single" w:sz="4" w:space="0" w:color="003366"/>
              <w:bottom w:val="single" w:sz="4" w:space="0" w:color="003366"/>
            </w:tcBorders>
          </w:tcPr>
          <w:p w:rsidR="00215E0F" w:rsidRDefault="00733CE1" w:rsidP="005718C9">
            <w:pPr>
              <w:pStyle w:val="TableText"/>
              <w:jc w:val="center"/>
            </w:pPr>
            <w:r>
              <w:t>13,046</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Blaine</w:t>
            </w:r>
          </w:p>
        </w:tc>
        <w:tc>
          <w:tcPr>
            <w:tcW w:w="1710" w:type="dxa"/>
            <w:tcBorders>
              <w:top w:val="single" w:sz="4" w:space="0" w:color="003366"/>
              <w:bottom w:val="single" w:sz="4" w:space="0" w:color="003366"/>
            </w:tcBorders>
          </w:tcPr>
          <w:p w:rsidR="00215E0F" w:rsidRDefault="00215E0F" w:rsidP="005718C9">
            <w:pPr>
              <w:pStyle w:val="TableText"/>
              <w:jc w:val="center"/>
            </w:pPr>
            <w:r>
              <w:t>2025</w:t>
            </w:r>
          </w:p>
        </w:tc>
        <w:tc>
          <w:tcPr>
            <w:tcW w:w="2070" w:type="dxa"/>
            <w:tcBorders>
              <w:top w:val="single" w:sz="4" w:space="0" w:color="003366"/>
              <w:bottom w:val="single" w:sz="4" w:space="0" w:color="003366"/>
            </w:tcBorders>
          </w:tcPr>
          <w:p w:rsidR="00215E0F" w:rsidRDefault="00215E0F" w:rsidP="005718C9">
            <w:pPr>
              <w:pStyle w:val="TableText"/>
              <w:jc w:val="center"/>
            </w:pPr>
            <w:r>
              <w:t>10,871</w:t>
            </w:r>
          </w:p>
        </w:tc>
        <w:tc>
          <w:tcPr>
            <w:tcW w:w="2250" w:type="dxa"/>
            <w:tcBorders>
              <w:top w:val="single" w:sz="4" w:space="0" w:color="003366"/>
              <w:bottom w:val="single" w:sz="4" w:space="0" w:color="003366"/>
            </w:tcBorders>
          </w:tcPr>
          <w:p w:rsidR="00215E0F" w:rsidRDefault="006A5327" w:rsidP="005718C9">
            <w:pPr>
              <w:pStyle w:val="TableText"/>
              <w:jc w:val="center"/>
            </w:pPr>
            <w:r>
              <w:t>9,585</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Everson</w:t>
            </w:r>
          </w:p>
        </w:tc>
        <w:tc>
          <w:tcPr>
            <w:tcW w:w="1710" w:type="dxa"/>
            <w:tcBorders>
              <w:top w:val="single" w:sz="4" w:space="0" w:color="003366"/>
              <w:bottom w:val="single" w:sz="4" w:space="0" w:color="003366"/>
            </w:tcBorders>
          </w:tcPr>
          <w:p w:rsidR="00215E0F" w:rsidRDefault="00733CE1" w:rsidP="00733CE1">
            <w:pPr>
              <w:pStyle w:val="TableText"/>
              <w:jc w:val="center"/>
            </w:pPr>
            <w:r>
              <w:t>2036</w:t>
            </w:r>
          </w:p>
        </w:tc>
        <w:tc>
          <w:tcPr>
            <w:tcW w:w="2070" w:type="dxa"/>
            <w:tcBorders>
              <w:top w:val="single" w:sz="4" w:space="0" w:color="003366"/>
              <w:bottom w:val="single" w:sz="4" w:space="0" w:color="003366"/>
            </w:tcBorders>
          </w:tcPr>
          <w:p w:rsidR="00215E0F" w:rsidRDefault="00733CE1" w:rsidP="00733CE1">
            <w:pPr>
              <w:pStyle w:val="TableText"/>
              <w:jc w:val="center"/>
            </w:pPr>
            <w:r>
              <w:t>4,044</w:t>
            </w:r>
          </w:p>
        </w:tc>
        <w:tc>
          <w:tcPr>
            <w:tcW w:w="2250" w:type="dxa"/>
            <w:tcBorders>
              <w:top w:val="single" w:sz="4" w:space="0" w:color="003366"/>
              <w:bottom w:val="single" w:sz="4" w:space="0" w:color="003366"/>
            </w:tcBorders>
          </w:tcPr>
          <w:p w:rsidR="00215E0F" w:rsidRDefault="00733CE1" w:rsidP="00733CE1">
            <w:pPr>
              <w:pStyle w:val="TableText"/>
              <w:jc w:val="center"/>
            </w:pPr>
            <w:r>
              <w:t>3,907</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Ferndale</w:t>
            </w:r>
          </w:p>
        </w:tc>
        <w:tc>
          <w:tcPr>
            <w:tcW w:w="1710" w:type="dxa"/>
            <w:tcBorders>
              <w:top w:val="single" w:sz="4" w:space="0" w:color="003366"/>
              <w:bottom w:val="single" w:sz="4" w:space="0" w:color="003366"/>
            </w:tcBorders>
          </w:tcPr>
          <w:p w:rsidR="00215E0F" w:rsidRDefault="00AA179D" w:rsidP="005718C9">
            <w:pPr>
              <w:pStyle w:val="TableText"/>
              <w:jc w:val="center"/>
            </w:pPr>
            <w:r>
              <w:t>2036</w:t>
            </w:r>
          </w:p>
        </w:tc>
        <w:tc>
          <w:tcPr>
            <w:tcW w:w="2070" w:type="dxa"/>
            <w:tcBorders>
              <w:top w:val="single" w:sz="4" w:space="0" w:color="003366"/>
              <w:bottom w:val="single" w:sz="4" w:space="0" w:color="003366"/>
            </w:tcBorders>
          </w:tcPr>
          <w:p w:rsidR="00215E0F" w:rsidRDefault="00AA179D" w:rsidP="005718C9">
            <w:pPr>
              <w:pStyle w:val="TableText"/>
              <w:jc w:val="center"/>
            </w:pPr>
            <w:r>
              <w:t>19,591</w:t>
            </w:r>
          </w:p>
        </w:tc>
        <w:tc>
          <w:tcPr>
            <w:tcW w:w="2250" w:type="dxa"/>
            <w:tcBorders>
              <w:top w:val="single" w:sz="4" w:space="0" w:color="003366"/>
              <w:bottom w:val="single" w:sz="4" w:space="0" w:color="003366"/>
            </w:tcBorders>
          </w:tcPr>
          <w:p w:rsidR="00215E0F" w:rsidRDefault="006A5327" w:rsidP="005718C9">
            <w:pPr>
              <w:pStyle w:val="TableText"/>
              <w:jc w:val="center"/>
            </w:pPr>
            <w:r>
              <w:t>19,591</w:t>
            </w:r>
          </w:p>
        </w:tc>
      </w:tr>
      <w:tr w:rsidR="00215E0F" w:rsidTr="005718C9">
        <w:tc>
          <w:tcPr>
            <w:tcW w:w="1890" w:type="dxa"/>
            <w:tcBorders>
              <w:top w:val="single" w:sz="4" w:space="0" w:color="003366"/>
              <w:bottom w:val="single" w:sz="4" w:space="0" w:color="003366"/>
            </w:tcBorders>
          </w:tcPr>
          <w:p w:rsidR="00215E0F" w:rsidRPr="0023132E" w:rsidRDefault="00215E0F" w:rsidP="005718C9">
            <w:pPr>
              <w:pStyle w:val="TableText"/>
            </w:pPr>
            <w:r w:rsidRPr="0023132E">
              <w:t>Lynden</w:t>
            </w:r>
          </w:p>
        </w:tc>
        <w:tc>
          <w:tcPr>
            <w:tcW w:w="1710" w:type="dxa"/>
            <w:tcBorders>
              <w:top w:val="single" w:sz="4" w:space="0" w:color="003366"/>
              <w:bottom w:val="single" w:sz="4" w:space="0" w:color="003366"/>
            </w:tcBorders>
          </w:tcPr>
          <w:p w:rsidR="00215E0F" w:rsidRPr="0023132E" w:rsidRDefault="001D199E" w:rsidP="005718C9">
            <w:pPr>
              <w:pStyle w:val="TableText"/>
              <w:jc w:val="center"/>
            </w:pPr>
            <w:r>
              <w:t>2036</w:t>
            </w:r>
          </w:p>
        </w:tc>
        <w:tc>
          <w:tcPr>
            <w:tcW w:w="2070" w:type="dxa"/>
            <w:tcBorders>
              <w:top w:val="single" w:sz="4" w:space="0" w:color="003366"/>
              <w:bottom w:val="single" w:sz="4" w:space="0" w:color="003366"/>
            </w:tcBorders>
          </w:tcPr>
          <w:p w:rsidR="00215E0F" w:rsidRPr="0023132E" w:rsidRDefault="001D199E" w:rsidP="005718C9">
            <w:pPr>
              <w:pStyle w:val="TableText"/>
              <w:jc w:val="center"/>
            </w:pPr>
            <w:r>
              <w:t>19,282</w:t>
            </w:r>
          </w:p>
        </w:tc>
        <w:tc>
          <w:tcPr>
            <w:tcW w:w="2250" w:type="dxa"/>
            <w:tcBorders>
              <w:top w:val="single" w:sz="4" w:space="0" w:color="003366"/>
              <w:bottom w:val="single" w:sz="4" w:space="0" w:color="003366"/>
            </w:tcBorders>
          </w:tcPr>
          <w:p w:rsidR="00215E0F" w:rsidRPr="0023132E" w:rsidRDefault="006A5327" w:rsidP="005718C9">
            <w:pPr>
              <w:pStyle w:val="TableText"/>
              <w:jc w:val="center"/>
            </w:pPr>
            <w:r>
              <w:t>19,275</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Nooksack</w:t>
            </w:r>
          </w:p>
        </w:tc>
        <w:tc>
          <w:tcPr>
            <w:tcW w:w="1710" w:type="dxa"/>
            <w:tcBorders>
              <w:top w:val="single" w:sz="4" w:space="0" w:color="003366"/>
              <w:bottom w:val="single" w:sz="4" w:space="0" w:color="003366"/>
            </w:tcBorders>
          </w:tcPr>
          <w:p w:rsidR="00215E0F" w:rsidRDefault="00733CE1" w:rsidP="00733CE1">
            <w:pPr>
              <w:pStyle w:val="TableText"/>
              <w:jc w:val="center"/>
            </w:pPr>
            <w:r>
              <w:t>2036</w:t>
            </w:r>
          </w:p>
        </w:tc>
        <w:tc>
          <w:tcPr>
            <w:tcW w:w="2070" w:type="dxa"/>
            <w:tcBorders>
              <w:top w:val="single" w:sz="4" w:space="0" w:color="003366"/>
              <w:bottom w:val="single" w:sz="4" w:space="0" w:color="003366"/>
            </w:tcBorders>
          </w:tcPr>
          <w:p w:rsidR="00215E0F" w:rsidRDefault="00733CE1" w:rsidP="00733CE1">
            <w:pPr>
              <w:pStyle w:val="TableText"/>
              <w:jc w:val="center"/>
            </w:pPr>
            <w:r>
              <w:t>2,470</w:t>
            </w:r>
          </w:p>
        </w:tc>
        <w:tc>
          <w:tcPr>
            <w:tcW w:w="2250" w:type="dxa"/>
            <w:tcBorders>
              <w:top w:val="single" w:sz="4" w:space="0" w:color="003366"/>
              <w:bottom w:val="single" w:sz="4" w:space="0" w:color="003366"/>
            </w:tcBorders>
          </w:tcPr>
          <w:p w:rsidR="00215E0F" w:rsidRDefault="00733CE1" w:rsidP="00733CE1">
            <w:pPr>
              <w:pStyle w:val="TableText"/>
              <w:jc w:val="center"/>
            </w:pPr>
            <w:r>
              <w:t>2,425</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Sumas</w:t>
            </w:r>
          </w:p>
        </w:tc>
        <w:tc>
          <w:tcPr>
            <w:tcW w:w="1710" w:type="dxa"/>
            <w:tcBorders>
              <w:top w:val="single" w:sz="4" w:space="0" w:color="003366"/>
              <w:bottom w:val="single" w:sz="4" w:space="0" w:color="003366"/>
            </w:tcBorders>
          </w:tcPr>
          <w:p w:rsidR="00215E0F" w:rsidRPr="001B78C8" w:rsidRDefault="001B78C8" w:rsidP="005718C9">
            <w:pPr>
              <w:pStyle w:val="TableText"/>
              <w:jc w:val="center"/>
            </w:pPr>
            <w:r w:rsidRPr="001B78C8">
              <w:t>2036</w:t>
            </w:r>
          </w:p>
        </w:tc>
        <w:tc>
          <w:tcPr>
            <w:tcW w:w="2070" w:type="dxa"/>
            <w:tcBorders>
              <w:top w:val="single" w:sz="4" w:space="0" w:color="003366"/>
              <w:bottom w:val="single" w:sz="4" w:space="0" w:color="003366"/>
            </w:tcBorders>
          </w:tcPr>
          <w:p w:rsidR="00215E0F" w:rsidRPr="001B78C8" w:rsidRDefault="001B78C8" w:rsidP="005718C9">
            <w:pPr>
              <w:pStyle w:val="TableText"/>
              <w:jc w:val="center"/>
            </w:pPr>
            <w:r>
              <w:t>2,323</w:t>
            </w:r>
            <w:r w:rsidR="00AA179D">
              <w:rPr>
                <w:vertAlign w:val="superscript"/>
              </w:rPr>
              <w:t>1</w:t>
            </w:r>
          </w:p>
        </w:tc>
        <w:tc>
          <w:tcPr>
            <w:tcW w:w="2250" w:type="dxa"/>
            <w:tcBorders>
              <w:top w:val="single" w:sz="4" w:space="0" w:color="003366"/>
              <w:bottom w:val="single" w:sz="4" w:space="0" w:color="003366"/>
            </w:tcBorders>
          </w:tcPr>
          <w:p w:rsidR="00215E0F" w:rsidRDefault="00494487" w:rsidP="00494487">
            <w:pPr>
              <w:pStyle w:val="TableText"/>
              <w:jc w:val="center"/>
            </w:pPr>
            <w:r>
              <w:t>2,323</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Lake Whatcom Water and Sewer Distr</w:t>
            </w:r>
            <w:r w:rsidR="00F91CFC">
              <w:t>ict</w:t>
            </w:r>
          </w:p>
        </w:tc>
        <w:tc>
          <w:tcPr>
            <w:tcW w:w="1710" w:type="dxa"/>
            <w:tcBorders>
              <w:top w:val="single" w:sz="4" w:space="0" w:color="003366"/>
              <w:bottom w:val="single" w:sz="4" w:space="0" w:color="003366"/>
            </w:tcBorders>
          </w:tcPr>
          <w:p w:rsidR="00215E0F" w:rsidRDefault="00F91CFC" w:rsidP="005718C9">
            <w:pPr>
              <w:pStyle w:val="TableText"/>
              <w:jc w:val="center"/>
            </w:pPr>
            <w:r>
              <w:t>2032</w:t>
            </w:r>
          </w:p>
        </w:tc>
        <w:tc>
          <w:tcPr>
            <w:tcW w:w="2070" w:type="dxa"/>
            <w:tcBorders>
              <w:top w:val="single" w:sz="4" w:space="0" w:color="003366"/>
              <w:bottom w:val="single" w:sz="4" w:space="0" w:color="003366"/>
            </w:tcBorders>
          </w:tcPr>
          <w:p w:rsidR="00215E0F" w:rsidRDefault="00F91CFC" w:rsidP="005718C9">
            <w:pPr>
              <w:pStyle w:val="TableText"/>
              <w:jc w:val="center"/>
            </w:pPr>
            <w:r>
              <w:t>10,556</w:t>
            </w:r>
          </w:p>
        </w:tc>
        <w:tc>
          <w:tcPr>
            <w:tcW w:w="2250" w:type="dxa"/>
            <w:tcBorders>
              <w:top w:val="single" w:sz="4" w:space="0" w:color="003366"/>
              <w:bottom w:val="single" w:sz="4" w:space="0" w:color="003366"/>
            </w:tcBorders>
          </w:tcPr>
          <w:p w:rsidR="00215E0F" w:rsidRDefault="00F91CFC" w:rsidP="005718C9">
            <w:pPr>
              <w:pStyle w:val="TableText"/>
              <w:jc w:val="center"/>
            </w:pPr>
            <w:r>
              <w:t>12,380</w:t>
            </w:r>
            <w:r w:rsidR="00AA179D">
              <w:rPr>
                <w:vertAlign w:val="superscript"/>
              </w:rPr>
              <w:t>2</w:t>
            </w:r>
          </w:p>
        </w:tc>
      </w:tr>
      <w:tr w:rsidR="00215E0F" w:rsidTr="005718C9">
        <w:tc>
          <w:tcPr>
            <w:tcW w:w="1890" w:type="dxa"/>
            <w:tcBorders>
              <w:top w:val="single" w:sz="4" w:space="0" w:color="003366"/>
              <w:bottom w:val="single" w:sz="4" w:space="0" w:color="003366"/>
            </w:tcBorders>
          </w:tcPr>
          <w:p w:rsidR="00215E0F" w:rsidRDefault="00215E0F" w:rsidP="005718C9">
            <w:pPr>
              <w:pStyle w:val="TableText"/>
            </w:pPr>
            <w:r>
              <w:t>Water District 13</w:t>
            </w:r>
          </w:p>
        </w:tc>
        <w:tc>
          <w:tcPr>
            <w:tcW w:w="1710" w:type="dxa"/>
            <w:tcBorders>
              <w:top w:val="single" w:sz="4" w:space="0" w:color="003366"/>
              <w:bottom w:val="single" w:sz="4" w:space="0" w:color="003366"/>
            </w:tcBorders>
          </w:tcPr>
          <w:p w:rsidR="00215E0F" w:rsidRDefault="00215E0F" w:rsidP="005718C9">
            <w:pPr>
              <w:pStyle w:val="TableText"/>
              <w:jc w:val="center"/>
              <w:rPr>
                <w:sz w:val="15"/>
                <w:szCs w:val="15"/>
              </w:rPr>
            </w:pPr>
            <w:r>
              <w:t>2029</w:t>
            </w:r>
          </w:p>
        </w:tc>
        <w:tc>
          <w:tcPr>
            <w:tcW w:w="2070" w:type="dxa"/>
            <w:tcBorders>
              <w:top w:val="single" w:sz="4" w:space="0" w:color="003366"/>
              <w:bottom w:val="single" w:sz="4" w:space="0" w:color="003366"/>
            </w:tcBorders>
          </w:tcPr>
          <w:p w:rsidR="00215E0F" w:rsidRDefault="00215E0F" w:rsidP="005718C9">
            <w:pPr>
              <w:pStyle w:val="TableText"/>
              <w:jc w:val="center"/>
              <w:rPr>
                <w:sz w:val="15"/>
                <w:szCs w:val="15"/>
              </w:rPr>
            </w:pPr>
            <w:r>
              <w:t>1,595</w:t>
            </w:r>
          </w:p>
        </w:tc>
        <w:tc>
          <w:tcPr>
            <w:tcW w:w="2250" w:type="dxa"/>
            <w:tcBorders>
              <w:top w:val="single" w:sz="4" w:space="0" w:color="003366"/>
              <w:bottom w:val="single" w:sz="4" w:space="0" w:color="003366"/>
            </w:tcBorders>
          </w:tcPr>
          <w:p w:rsidR="00215E0F" w:rsidRDefault="00357868" w:rsidP="005718C9">
            <w:pPr>
              <w:pStyle w:val="TableText"/>
              <w:jc w:val="center"/>
            </w:pPr>
            <w:r>
              <w:t>1,773</w:t>
            </w:r>
          </w:p>
        </w:tc>
      </w:tr>
    </w:tbl>
    <w:p w:rsidR="001B78C8" w:rsidRDefault="001B78C8" w:rsidP="001B78C8">
      <w:pPr>
        <w:pStyle w:val="TableNotes"/>
        <w:numPr>
          <w:ilvl w:val="0"/>
          <w:numId w:val="42"/>
        </w:numPr>
      </w:pPr>
      <w:r>
        <w:t>From the Draft City of Sumas Comprehensive Plan.</w:t>
      </w:r>
    </w:p>
    <w:p w:rsidR="00B578BF" w:rsidRDefault="00B578BF" w:rsidP="001B78C8">
      <w:pPr>
        <w:pStyle w:val="TableNotes"/>
        <w:numPr>
          <w:ilvl w:val="0"/>
          <w:numId w:val="42"/>
        </w:numPr>
      </w:pPr>
      <w:r>
        <w:t>The boundaries of the District are larger than the area served by sewer.</w:t>
      </w:r>
    </w:p>
    <w:p w:rsidR="00215E0F" w:rsidRDefault="00215E0F" w:rsidP="00215E0F">
      <w:pPr>
        <w:pStyle w:val="TableNotes"/>
        <w:tabs>
          <w:tab w:val="left" w:pos="630"/>
        </w:tabs>
        <w:ind w:left="360" w:hanging="360"/>
      </w:pPr>
    </w:p>
    <w:p w:rsidR="00215E0F" w:rsidRDefault="00215E0F" w:rsidP="00215E0F">
      <w:pPr>
        <w:pStyle w:val="TableNotes"/>
        <w:ind w:left="630" w:hanging="630"/>
      </w:pPr>
    </w:p>
    <w:p w:rsidR="00215E0F" w:rsidRDefault="00193878" w:rsidP="00215E0F">
      <w:pPr>
        <w:pStyle w:val="Heading5"/>
      </w:pPr>
      <w:r>
        <w:t>Capital Facility Projects</w:t>
      </w:r>
    </w:p>
    <w:p w:rsidR="001535DF" w:rsidRDefault="00215E0F" w:rsidP="00D106A6">
      <w:pPr>
        <w:pStyle w:val="BodyText"/>
      </w:pPr>
      <w:r>
        <w:t xml:space="preserve">Sewer services and capital </w:t>
      </w:r>
      <w:r w:rsidR="00B013BC">
        <w:t xml:space="preserve">facilities </w:t>
      </w:r>
      <w:r>
        <w:t>are funded primarily by the users of the system through service charges and connection fees. These rates are adjusted as needed to fund capital and operational needs. Some grant programs exist for the construction of sewer facilities and upgrades, but, like many grant programs, they a</w:t>
      </w:r>
      <w:r w:rsidR="00D106A6">
        <w:t xml:space="preserve">re generally very competitive. </w:t>
      </w:r>
    </w:p>
    <w:p w:rsidR="00215E0F" w:rsidRDefault="00215E0F" w:rsidP="00215E0F">
      <w:pPr>
        <w:pStyle w:val="Heading4"/>
      </w:pPr>
      <w:r>
        <w:t>City of Bellingham</w:t>
      </w:r>
    </w:p>
    <w:p w:rsidR="00F01DB0" w:rsidRDefault="001535DF" w:rsidP="00215E0F">
      <w:pPr>
        <w:pStyle w:val="BodyText"/>
      </w:pPr>
      <w:r>
        <w:t xml:space="preserve">The </w:t>
      </w:r>
      <w:r>
        <w:rPr>
          <w:i/>
        </w:rPr>
        <w:t xml:space="preserve">City of Bellingham Comprehensive </w:t>
      </w:r>
      <w:r w:rsidRPr="00BD07D1">
        <w:rPr>
          <w:i/>
        </w:rPr>
        <w:t>Sewer Plan</w:t>
      </w:r>
      <w:r>
        <w:t xml:space="preserve"> (2009</w:t>
      </w:r>
      <w:r w:rsidRPr="00390313">
        <w:t>) indicates</w:t>
      </w:r>
      <w:r w:rsidR="00B91651">
        <w:t xml:space="preserve"> that the City </w:t>
      </w:r>
      <w:r>
        <w:t xml:space="preserve">maintains a </w:t>
      </w:r>
      <w:r w:rsidRPr="00390313">
        <w:t>wastewater collection and conveyance system comprised of gravity sewers, pump stations, and force mains</w:t>
      </w:r>
      <w:r>
        <w:t xml:space="preserve"> (p. 5-1)</w:t>
      </w:r>
      <w:r w:rsidRPr="00390313">
        <w:t xml:space="preserve">.  </w:t>
      </w:r>
      <w:r>
        <w:t xml:space="preserve">The City of Bellingham </w:t>
      </w:r>
      <w:r w:rsidRPr="00390313">
        <w:t>operate</w:t>
      </w:r>
      <w:r>
        <w:t>s</w:t>
      </w:r>
      <w:r w:rsidRPr="00390313">
        <w:t xml:space="preserve"> a wastewater treatment plant</w:t>
      </w:r>
      <w:r>
        <w:t xml:space="preserve">, which is also utilized by the Lake Whatcom Water and Sewer District (pp. 2-1 and 8-1).   </w:t>
      </w:r>
      <w:r w:rsidRPr="00390313">
        <w:t xml:space="preserve">The </w:t>
      </w:r>
      <w:r w:rsidR="00910273">
        <w:rPr>
          <w:i/>
        </w:rPr>
        <w:t xml:space="preserve">City of Bellingham Comprehensive </w:t>
      </w:r>
      <w:r w:rsidR="00910273" w:rsidRPr="00BD07D1">
        <w:rPr>
          <w:i/>
        </w:rPr>
        <w:t>Sewer Plan</w:t>
      </w:r>
      <w:r>
        <w:t xml:space="preserve"> </w:t>
      </w:r>
      <w:r w:rsidRPr="00390313">
        <w:t>contains a capital improvement pr</w:t>
      </w:r>
      <w:r w:rsidR="00910273">
        <w:t>ogram with approximately $54.2</w:t>
      </w:r>
      <w:r w:rsidRPr="00390313">
        <w:t xml:space="preserve"> milli</w:t>
      </w:r>
      <w:r w:rsidR="00910273">
        <w:t xml:space="preserve">on in capital projects </w:t>
      </w:r>
      <w:r>
        <w:t>(2016 -</w:t>
      </w:r>
      <w:r w:rsidR="00910273">
        <w:t xml:space="preserve"> 202</w:t>
      </w:r>
      <w:r w:rsidRPr="00390313">
        <w:t xml:space="preserve">6).  These projects include </w:t>
      </w:r>
      <w:r w:rsidR="00910273">
        <w:t>collection system improvements and wastewater treatment plant improvements (p. 12-6</w:t>
      </w:r>
      <w:r>
        <w:t xml:space="preserve">). The </w:t>
      </w:r>
      <w:r w:rsidR="00910273">
        <w:t>financial</w:t>
      </w:r>
      <w:r w:rsidRPr="00390313">
        <w:t xml:space="preserve"> plan indicates </w:t>
      </w:r>
      <w:r w:rsidR="00910273">
        <w:t>that system development charges, rates, cash reserves, and revenue bonds are funding sources to implement the plan and that projected funds will be adequate for planned capital projects (p. 12-7).</w:t>
      </w:r>
    </w:p>
    <w:p w:rsidR="00215E0F" w:rsidRDefault="00215E0F" w:rsidP="00215E0F">
      <w:pPr>
        <w:pStyle w:val="Heading4"/>
      </w:pPr>
      <w:r>
        <w:t>Birch Bay Water and Sewer</w:t>
      </w:r>
      <w:r w:rsidR="00355783">
        <w:t xml:space="preserve"> District</w:t>
      </w:r>
    </w:p>
    <w:p w:rsidR="005D4519" w:rsidRDefault="001B1649" w:rsidP="00215E0F">
      <w:pPr>
        <w:pStyle w:val="BodyText"/>
      </w:pPr>
      <w:r>
        <w:t xml:space="preserve">The </w:t>
      </w:r>
      <w:r w:rsidRPr="001B1649">
        <w:rPr>
          <w:i/>
        </w:rPr>
        <w:t xml:space="preserve">Birch Bay Water and Sewer District </w:t>
      </w:r>
      <w:r w:rsidR="00F01DB0" w:rsidRPr="001B1649">
        <w:rPr>
          <w:i/>
        </w:rPr>
        <w:t>Comprehensive Sewer Plan</w:t>
      </w:r>
      <w:r w:rsidR="00F01DB0">
        <w:t xml:space="preserve"> </w:t>
      </w:r>
      <w:r>
        <w:t xml:space="preserve">was adopted by the District </w:t>
      </w:r>
      <w:r w:rsidR="00F01DB0">
        <w:t>in 2009</w:t>
      </w:r>
      <w:r>
        <w:t>.  The District</w:t>
      </w:r>
      <w:r w:rsidR="00F01DB0">
        <w:t xml:space="preserve"> is completing an updated plan in 2</w:t>
      </w:r>
      <w:r w:rsidR="00243DA2">
        <w:t xml:space="preserve">016.  </w:t>
      </w:r>
      <w:r w:rsidR="00054764">
        <w:t xml:space="preserve">Birch Bay Water and Sewer District provides sewer collection and treatment services for the area within and some areas adjacent to the </w:t>
      </w:r>
      <w:r w:rsidR="00054764">
        <w:lastRenderedPageBreak/>
        <w:t xml:space="preserve">Birch Bay UGA.  </w:t>
      </w:r>
      <w:r w:rsidR="00243DA2">
        <w:t>The system includes a wastewater treatment plant</w:t>
      </w:r>
      <w:r w:rsidR="00F01DB0">
        <w:t xml:space="preserve">, 11 pump stations and over 56 miles of collection and conveyance piping.  The </w:t>
      </w:r>
      <w:r w:rsidR="00243DA2">
        <w:t>wastewater treatment plant</w:t>
      </w:r>
      <w:r w:rsidR="00F01DB0">
        <w:t xml:space="preserve"> was evaluated in 2012.  The headworks facility was replaced in 2014 and aeration upgrades are in progress in 2016.  Following completion of the aeration upgrades, the facility will be permitted for 1.44 million gallons per day, maximum </w:t>
      </w:r>
      <w:r w:rsidR="000E68A4">
        <w:t>month average daily flow.  The D</w:t>
      </w:r>
      <w:r w:rsidR="00F01DB0">
        <w:t xml:space="preserve">istrict’s 2009 plan indicates where current sewer service exists and establishes a future service area that consists of portions of then-current Birch Bay, Blaine, and Cherry Point UGAs.  The plan identifies future trunk lines and lift station and force main upgrades or additions.  The system serves development throughout the UGA, including all developed areas along the Birch Bay shoreline and existing urban-density development inland.  The County has since removed significant areas from the Birch Bay and Blaine UGAs, particularly areas at Birch Point and north of Lincoln Road.  The sewer service area addressed in the 2016 plan update includes all of the Birch Bay UGA, and parcels and plats with existing sewer service.  The most recent District sewer planning document is its </w:t>
      </w:r>
      <w:r w:rsidR="00F01DB0" w:rsidRPr="00C01E29">
        <w:rPr>
          <w:i/>
        </w:rPr>
        <w:t>Engineering Report for Wastewater Treatment Plant Improvements</w:t>
      </w:r>
      <w:r w:rsidR="00F01DB0">
        <w:t xml:space="preserve"> (2012).  The report includes an updated forecast of growth in population, flow and loadings.  The report recommended improvements for immediate implementation (the work to be completed in 2016) and an upgrade to be completed by year 2022.  With the revised </w:t>
      </w:r>
      <w:r w:rsidR="00243DA2">
        <w:t>population forecast for this plan</w:t>
      </w:r>
      <w:r w:rsidR="00F01DB0">
        <w:t>, the next plant upgrade will potentially be necessary prior to 2022.  T</w:t>
      </w:r>
      <w:r w:rsidR="00243DA2">
        <w:t xml:space="preserve">he 2016 plan update </w:t>
      </w:r>
      <w:r w:rsidR="00F01DB0">
        <w:t>will refine the timing of the next plant upgrade and future updates to the 2012 report will address capacity needs for year 2036 population and corresponding flow and loading.   The 2009 plan includes a capital improvement plan for adequate capacity and extension or upgrade of collect</w:t>
      </w:r>
      <w:r w:rsidR="00905F23">
        <w:t>ion</w:t>
      </w:r>
      <w:r w:rsidR="00F01DB0">
        <w:t xml:space="preserve"> system facilities to service the designated area.  Several of those projects have been completed.  The 2016 plan will revise that capital plan to exclude service to areas no longer in the UGA or service area and update the list of projects anticipated for service within the UGA and </w:t>
      </w:r>
      <w:r w:rsidR="00850348">
        <w:t>adjacent existing service area.</w:t>
      </w:r>
    </w:p>
    <w:p w:rsidR="00215E0F" w:rsidRDefault="00215E0F" w:rsidP="00215E0F">
      <w:pPr>
        <w:pStyle w:val="Heading4"/>
      </w:pPr>
      <w:r>
        <w:t>City of Blaine</w:t>
      </w:r>
    </w:p>
    <w:p w:rsidR="005D4519" w:rsidRPr="005D4519" w:rsidRDefault="005D4519" w:rsidP="005D4519">
      <w:pPr>
        <w:spacing w:line="300" w:lineRule="atLeast"/>
      </w:pPr>
      <w:r w:rsidRPr="005D4519">
        <w:t xml:space="preserve">The </w:t>
      </w:r>
      <w:r w:rsidRPr="005D4519">
        <w:rPr>
          <w:i/>
        </w:rPr>
        <w:t xml:space="preserve">City of Blaine General Sewer Plan </w:t>
      </w:r>
      <w:r w:rsidRPr="00333E9C">
        <w:t>(2004, revised 2005)</w:t>
      </w:r>
      <w:r w:rsidRPr="005D4519">
        <w:t xml:space="preserve"> and associated Technical Memorandum (2016) indicate that the City of Blaine maintains a wastewater collection and conveyance system comprised of gravity sewers, pump stations, and force mains.  The City of Blaine operates </w:t>
      </w:r>
      <w:r w:rsidR="00152DF7">
        <w:t xml:space="preserve">a </w:t>
      </w:r>
      <w:r w:rsidRPr="005D4519">
        <w:t xml:space="preserve">bio-membrane wastewater treatment plant that discharges to Semiahmoo Bay. The plant is called the Lighthouse Point Water Reclamation Facility and uses advanced membrane bio-reactors to purify wastewater to meet Class A water reuse standards, such as irrigation of parks and golf courses. Lighthouse Point replaced the city’s former facility which has since been decommissioned. Lighthouse Point generates reclaimed water suitable for industrial and agricultural uses, and the city is currently contracted with Resort Semiahmoo to supply reclaimed water for golf course irrigation, and a private user for service of a landscape water feature. </w:t>
      </w:r>
    </w:p>
    <w:p w:rsidR="00215E0F" w:rsidRDefault="005D4519" w:rsidP="005D4519">
      <w:pPr>
        <w:pStyle w:val="BodyText"/>
      </w:pPr>
      <w:r w:rsidRPr="005D4519">
        <w:t xml:space="preserve">The plant has a design capacity of 3.1 million gallons per day (mgd) for purification, and has the current capacity to treat an annual average of 1.54 mgd. The City of Blaine General Sewer Plan contains a capital improvement program with approximately $33.5 million in capital projects over its 20-year planning period.  A significant portion of that has already been invested in developing Lighthouse Point and the flow attenuation tanks; a total of $26.0 million was estimated in the Plan for those two facilities.  In the next 20 years (2016 - 2036), the City forecasts line extensions and </w:t>
      </w:r>
      <w:r w:rsidRPr="005D4519">
        <w:lastRenderedPageBreak/>
        <w:t>installation of pumping facilities to serve new development, as well as phased expansion of the Lighthouse Point facility.  However, these are only necessary if development occurs and will be paid primarily through general facility fees</w:t>
      </w:r>
      <w:r w:rsidR="00152DF7">
        <w:t xml:space="preserve">. </w:t>
      </w:r>
      <w:r w:rsidRPr="005D4519">
        <w:t xml:space="preserve"> These projects include sewer trunk line extensions, and associated pump stations, into the East Blaine planning area as development </w:t>
      </w:r>
      <w:r w:rsidR="00E66574">
        <w:t>in that area generate</w:t>
      </w:r>
      <w:r w:rsidR="00B91651">
        <w:t>s</w:t>
      </w:r>
      <w:r w:rsidR="007968D8">
        <w:t xml:space="preserve"> the need. They also include</w:t>
      </w:r>
      <w:r w:rsidRPr="005D4519">
        <w:t xml:space="preserve"> development of sewer trunk line extensions, and associated pump stations, in the West Blaine planning area as development also creates the need there.  The vast majority of these facilities will be developer installed.  The City’s financing plan projects adequate revenues to cover expenses over the 20-year planning period only if the City continually assesses the rate structure and general facility </w:t>
      </w:r>
      <w:r w:rsidR="007968D8">
        <w:t>fees as time progresses</w:t>
      </w:r>
      <w:r w:rsidRPr="005D4519">
        <w:t>.   The City has accomplished the greatest goal outlined in the plan (building the new treatment facility), and is well-staged to expand the delivery system as demand increases due to expanding population.</w:t>
      </w:r>
    </w:p>
    <w:p w:rsidR="00215E0F" w:rsidRDefault="00215E0F" w:rsidP="00215E0F">
      <w:pPr>
        <w:pStyle w:val="Heading4"/>
      </w:pPr>
      <w:r>
        <w:t>City of Everson</w:t>
      </w:r>
    </w:p>
    <w:p w:rsidR="00390313" w:rsidRDefault="00390313" w:rsidP="00215E0F">
      <w:pPr>
        <w:pStyle w:val="BodyText"/>
      </w:pPr>
      <w:r>
        <w:t xml:space="preserve">The </w:t>
      </w:r>
      <w:r w:rsidRPr="00BD07D1">
        <w:rPr>
          <w:i/>
        </w:rPr>
        <w:t>City of Everson General Sewer Plan</w:t>
      </w:r>
      <w:r>
        <w:t xml:space="preserve"> (2012</w:t>
      </w:r>
      <w:r w:rsidRPr="00390313">
        <w:t>) indicates</w:t>
      </w:r>
      <w:r>
        <w:t xml:space="preserve"> that the City of Everson maintains a </w:t>
      </w:r>
      <w:r w:rsidRPr="00390313">
        <w:t xml:space="preserve">wastewater collection and conveyance system comprised of gravity sewers, pump stations, and force mains.  </w:t>
      </w:r>
      <w:r>
        <w:t xml:space="preserve">The City of Everson </w:t>
      </w:r>
      <w:r w:rsidRPr="00390313">
        <w:t>operate</w:t>
      </w:r>
      <w:r>
        <w:t>s</w:t>
      </w:r>
      <w:r w:rsidRPr="00390313">
        <w:t xml:space="preserve"> a wastewater treatment plant</w:t>
      </w:r>
      <w:r>
        <w:t>, which is also utilized by the City of Nooksack</w:t>
      </w:r>
      <w:r w:rsidRPr="00390313">
        <w:t xml:space="preserve"> (pp. 3-1</w:t>
      </w:r>
      <w:r>
        <w:t xml:space="preserve"> and 3-3</w:t>
      </w:r>
      <w:r w:rsidR="00B013BC">
        <w:t>).  T</w:t>
      </w:r>
      <w:r w:rsidRPr="00390313">
        <w:t xml:space="preserve">he Everson Wastewater Treatment Plant </w:t>
      </w:r>
      <w:r w:rsidR="00B013BC">
        <w:t xml:space="preserve">is being upgraded in 2016 </w:t>
      </w:r>
      <w:r w:rsidRPr="00390313">
        <w:t>to increase capacity</w:t>
      </w:r>
      <w:r w:rsidR="00886241">
        <w:t xml:space="preserve"> to accommodate projected growth over the 20-year planning period</w:t>
      </w:r>
      <w:r w:rsidRPr="00390313">
        <w:t xml:space="preserve"> (</w:t>
      </w:r>
      <w:r w:rsidRPr="00BD07D1">
        <w:rPr>
          <w:i/>
        </w:rPr>
        <w:t>City of Nooksack 2012 General</w:t>
      </w:r>
      <w:r w:rsidR="00B013BC" w:rsidRPr="00BD07D1">
        <w:rPr>
          <w:i/>
        </w:rPr>
        <w:t xml:space="preserve"> Sewer Plan Elements Amendment</w:t>
      </w:r>
      <w:r w:rsidR="00B013BC">
        <w:t>, January 2016,</w:t>
      </w:r>
      <w:r>
        <w:t xml:space="preserve"> </w:t>
      </w:r>
      <w:r w:rsidR="00B013BC">
        <w:t xml:space="preserve">p. </w:t>
      </w:r>
      <w:r w:rsidRPr="00390313">
        <w:t xml:space="preserve">3-2).  The </w:t>
      </w:r>
      <w:r w:rsidRPr="00BE3EB9">
        <w:rPr>
          <w:i/>
        </w:rPr>
        <w:t xml:space="preserve">Everson General Sewer </w:t>
      </w:r>
      <w:r w:rsidR="00B013BC" w:rsidRPr="00BE3EB9">
        <w:rPr>
          <w:i/>
        </w:rPr>
        <w:t>Plan</w:t>
      </w:r>
      <w:r w:rsidR="00B013BC">
        <w:t xml:space="preserve"> </w:t>
      </w:r>
      <w:r w:rsidRPr="00390313">
        <w:t>contains a capital improvement pr</w:t>
      </w:r>
      <w:r w:rsidR="00FE7F2F">
        <w:t>ogram with approximately $4.5</w:t>
      </w:r>
      <w:r w:rsidRPr="00390313">
        <w:t xml:space="preserve"> million in capital projects over the </w:t>
      </w:r>
      <w:r w:rsidR="00B013BC">
        <w:t xml:space="preserve">next 20 </w:t>
      </w:r>
      <w:r w:rsidRPr="00390313">
        <w:t>year</w:t>
      </w:r>
      <w:r w:rsidR="00B013BC">
        <w:t>s (2016 -</w:t>
      </w:r>
      <w:r w:rsidRPr="00390313">
        <w:t xml:space="preserve"> 2036).  These projects include pump station, collection system and wastewater treatm</w:t>
      </w:r>
      <w:r w:rsidR="00B013BC">
        <w:t>ent plant improvements (pp. 11-3</w:t>
      </w:r>
      <w:r w:rsidRPr="00390313">
        <w:t xml:space="preserve"> through </w:t>
      </w:r>
      <w:r w:rsidR="00B013BC">
        <w:t xml:space="preserve">11-8). The </w:t>
      </w:r>
      <w:r w:rsidRPr="00390313">
        <w:t xml:space="preserve">financing plan indicates there are </w:t>
      </w:r>
      <w:r w:rsidR="00B013BC">
        <w:t>fiscal</w:t>
      </w:r>
      <w:r w:rsidR="00193878">
        <w:t xml:space="preserve"> challenges</w:t>
      </w:r>
      <w:r w:rsidRPr="00390313">
        <w:t>, but also includes strategies for addressing projected funding gaps</w:t>
      </w:r>
      <w:r w:rsidR="00FE7F2F">
        <w:t xml:space="preserve"> (p</w:t>
      </w:r>
      <w:r w:rsidR="00B013BC">
        <w:t>p</w:t>
      </w:r>
      <w:r w:rsidR="00FE7F2F">
        <w:t xml:space="preserve">. </w:t>
      </w:r>
      <w:r w:rsidR="00B013BC">
        <w:t>11-8 through 11-10</w:t>
      </w:r>
      <w:r w:rsidRPr="00390313">
        <w:t>).</w:t>
      </w:r>
    </w:p>
    <w:p w:rsidR="00215E0F" w:rsidRDefault="00215E0F" w:rsidP="00215E0F">
      <w:pPr>
        <w:pStyle w:val="Heading4"/>
      </w:pPr>
      <w:r>
        <w:t>City of Ferndale</w:t>
      </w:r>
    </w:p>
    <w:p w:rsidR="00C00C78" w:rsidRPr="00C00C78" w:rsidRDefault="00C00C78" w:rsidP="00C00C78">
      <w:pPr>
        <w:spacing w:line="300" w:lineRule="atLeast"/>
      </w:pPr>
      <w:r w:rsidRPr="00C00C78">
        <w:t xml:space="preserve">The Draft </w:t>
      </w:r>
      <w:r w:rsidRPr="00C00C78">
        <w:rPr>
          <w:i/>
        </w:rPr>
        <w:t>City of Ferndale Comprehensive Sewer Plan</w:t>
      </w:r>
      <w:r w:rsidRPr="00C00C78">
        <w:t xml:space="preserve"> (2016) indicates that the City of Ferndale maintains a wastewater collection and conveyance system comprised of gravity sewers, pump stations, and force mains.  The City of Ferndale also operates a wastewater treatment plant (pp. 15).    The City plans to increase the capacity of the wastewater treatment plan from 3.23 MGD to 6.37 MGD (p. 16).  The existing lagoon system will be converted to an extended aeration activated sludge treatment plant.  The Draft </w:t>
      </w:r>
      <w:r w:rsidRPr="00C00C78">
        <w:rPr>
          <w:i/>
        </w:rPr>
        <w:t>Ferndale Comprehensive Sewer Plan</w:t>
      </w:r>
      <w:r w:rsidRPr="00C00C78">
        <w:t xml:space="preserve"> contains a capital improvement program with approximately $71 million in capital projects over the next 20 years (2016 - 2036).  These projects include pump stations, collection system, and wastewater treatment plant improvements and inflow/infiltration reduction projects. The City’s financing plan projects adequate revenues to cover expenses over the 20-year planning period (p. 32).</w:t>
      </w:r>
    </w:p>
    <w:p w:rsidR="00215E0F" w:rsidRDefault="00215E0F" w:rsidP="00215E0F">
      <w:pPr>
        <w:pStyle w:val="Heading4"/>
      </w:pPr>
      <w:r>
        <w:t>City of Lynden</w:t>
      </w:r>
    </w:p>
    <w:p w:rsidR="00BE3EB9" w:rsidRDefault="00F87299" w:rsidP="00BE3EB9">
      <w:pPr>
        <w:pStyle w:val="BodyText"/>
      </w:pPr>
      <w:r w:rsidRPr="008E169C">
        <w:t xml:space="preserve">The Draft </w:t>
      </w:r>
      <w:r w:rsidRPr="008E169C">
        <w:rPr>
          <w:i/>
        </w:rPr>
        <w:t>City of Lynden General Sewer Plan</w:t>
      </w:r>
      <w:r w:rsidRPr="008E169C">
        <w:t xml:space="preserve"> (2016) indicates that the City of Lynden maintains a wastewater collection and conveyance system comprised of gravity sewers, pump stations, and force mains.  The City of Lynden also operates a wastewater treatment plant </w:t>
      </w:r>
      <w:r w:rsidRPr="008E169C">
        <w:rPr>
          <w:rFonts w:cs="Arial"/>
          <w:color w:val="262626"/>
          <w:shd w:val="clear" w:color="auto" w:fill="FFFFFF"/>
        </w:rPr>
        <w:t xml:space="preserve">that include an influent pump station, headworks with screens and grit removal, three anoxic selector tanks, two oxidation </w:t>
      </w:r>
      <w:r w:rsidRPr="008E169C">
        <w:rPr>
          <w:rFonts w:cs="Arial"/>
          <w:color w:val="262626"/>
          <w:shd w:val="clear" w:color="auto" w:fill="FFFFFF"/>
        </w:rPr>
        <w:lastRenderedPageBreak/>
        <w:t>ditches, two secondary clarifiers, effluent cloth disc filters, UV disinfection system, effluent Parshall fl</w:t>
      </w:r>
      <w:r w:rsidR="00B91651">
        <w:rPr>
          <w:rFonts w:cs="Arial"/>
          <w:color w:val="262626"/>
          <w:shd w:val="clear" w:color="auto" w:fill="FFFFFF"/>
        </w:rPr>
        <w:t>ume, effluent pump s</w:t>
      </w:r>
      <w:r w:rsidR="004649A2">
        <w:rPr>
          <w:rFonts w:cs="Arial"/>
          <w:color w:val="262626"/>
          <w:shd w:val="clear" w:color="auto" w:fill="FFFFFF"/>
        </w:rPr>
        <w:t>tation</w:t>
      </w:r>
      <w:r w:rsidRPr="008E169C">
        <w:rPr>
          <w:rFonts w:cs="Arial"/>
          <w:color w:val="262626"/>
          <w:shd w:val="clear" w:color="auto" w:fill="FFFFFF"/>
        </w:rPr>
        <w:t>, sludge thickening and digestion, sludge dewate</w:t>
      </w:r>
      <w:r w:rsidR="006C459F">
        <w:rPr>
          <w:rFonts w:cs="Arial"/>
          <w:color w:val="262626"/>
          <w:shd w:val="clear" w:color="auto" w:fill="FFFFFF"/>
        </w:rPr>
        <w:t>ring, and composting facilities</w:t>
      </w:r>
      <w:r w:rsidRPr="008E169C">
        <w:rPr>
          <w:rFonts w:cs="Arial"/>
          <w:color w:val="262626"/>
          <w:shd w:val="clear" w:color="auto" w:fill="FFFFFF"/>
        </w:rPr>
        <w:t xml:space="preserve"> </w:t>
      </w:r>
      <w:r w:rsidR="006C459F">
        <w:t xml:space="preserve">(Chapter 5).  </w:t>
      </w:r>
      <w:r w:rsidRPr="008E169C">
        <w:t xml:space="preserve">The Draft </w:t>
      </w:r>
      <w:r w:rsidRPr="008E169C">
        <w:rPr>
          <w:i/>
        </w:rPr>
        <w:t>Lynden General Sewer Plan</w:t>
      </w:r>
      <w:r w:rsidRPr="008E169C">
        <w:t xml:space="preserve"> contains a capital improve</w:t>
      </w:r>
      <w:r w:rsidR="00F63F2F">
        <w:t xml:space="preserve">ment program with </w:t>
      </w:r>
      <w:r w:rsidRPr="008E169C">
        <w:t>capital p</w:t>
      </w:r>
      <w:r w:rsidR="00F63F2F">
        <w:t>rojects over the next 20 years from 2016 - 2036</w:t>
      </w:r>
      <w:r w:rsidRPr="008E169C">
        <w:t xml:space="preserve"> (Chapter 12).  The City’s financing plan projects adequate revenues to cover expenses over the 20-year planning period (Chapter 12).</w:t>
      </w:r>
    </w:p>
    <w:p w:rsidR="00215E0F" w:rsidRDefault="00215E0F" w:rsidP="00215E0F">
      <w:pPr>
        <w:pStyle w:val="Heading4"/>
      </w:pPr>
      <w:r>
        <w:t>City of Nooksack</w:t>
      </w:r>
    </w:p>
    <w:p w:rsidR="00E76856" w:rsidRDefault="008A05EC" w:rsidP="00215E0F">
      <w:pPr>
        <w:pStyle w:val="BodyText"/>
      </w:pPr>
      <w:r>
        <w:t xml:space="preserve">The </w:t>
      </w:r>
      <w:r w:rsidRPr="00BD07D1">
        <w:rPr>
          <w:i/>
        </w:rPr>
        <w:t>City of Nooksack 2012 General Sewer Plan Elements Amendment</w:t>
      </w:r>
      <w:r>
        <w:t xml:space="preserve"> (</w:t>
      </w:r>
      <w:r w:rsidR="00B013BC">
        <w:t xml:space="preserve">January </w:t>
      </w:r>
      <w:r>
        <w:t xml:space="preserve">2016) indicates that the City of Nooksack maintains a wastewater collection and conveyance system comprised of gravity sewers, pump stations, and force mains.  </w:t>
      </w:r>
      <w:r w:rsidR="004E3D01">
        <w:t xml:space="preserve">The City of Nooksack does not operate a wastewater treatment plant.  </w:t>
      </w:r>
      <w:r>
        <w:t>Wastewater from Nooksack is treated at the Everson Wastewater Treatment Plant (p</w:t>
      </w:r>
      <w:r w:rsidR="004E3D01">
        <w:t>p</w:t>
      </w:r>
      <w:r>
        <w:t>. 3-1</w:t>
      </w:r>
      <w:r w:rsidR="00B013BC">
        <w:t xml:space="preserve"> and 3-3</w:t>
      </w:r>
      <w:r>
        <w:t>).</w:t>
      </w:r>
      <w:r w:rsidR="004E3D01">
        <w:t xml:space="preserve">  </w:t>
      </w:r>
      <w:r w:rsidR="00B013BC" w:rsidRPr="00B013BC">
        <w:t xml:space="preserve">The Everson Wastewater Treatment Plant is being upgraded in 2016 to increase capacity </w:t>
      </w:r>
      <w:r w:rsidR="00886241" w:rsidRPr="00886241">
        <w:t xml:space="preserve">to accommodate projected growth over the 20-year planning period </w:t>
      </w:r>
      <w:r w:rsidR="00B013BC" w:rsidRPr="00B013BC">
        <w:t>(</w:t>
      </w:r>
      <w:r w:rsidR="00B013BC" w:rsidRPr="00BD07D1">
        <w:rPr>
          <w:i/>
        </w:rPr>
        <w:t>City of Nooksack 2012 General Sewer Plan Elements Amendment</w:t>
      </w:r>
      <w:r w:rsidR="00B013BC" w:rsidRPr="00B013BC">
        <w:t xml:space="preserve">, January 2016, p. </w:t>
      </w:r>
      <w:r w:rsidR="00AB4560">
        <w:t>3-2)</w:t>
      </w:r>
      <w:r w:rsidR="004E3D01">
        <w:t>.  The Plan also contains a capital improvement pr</w:t>
      </w:r>
      <w:r w:rsidR="00AB4560">
        <w:t>ogram with over $2.5</w:t>
      </w:r>
      <w:r w:rsidR="00F62810">
        <w:t xml:space="preserve"> million </w:t>
      </w:r>
      <w:r w:rsidR="004E3D01">
        <w:t xml:space="preserve">in capital projects over the </w:t>
      </w:r>
      <w:r w:rsidR="00AB4560">
        <w:t xml:space="preserve">next 20 </w:t>
      </w:r>
      <w:r w:rsidR="004E3D01">
        <w:t>year</w:t>
      </w:r>
      <w:r w:rsidR="00AB4560">
        <w:t>s (2016-</w:t>
      </w:r>
      <w:r w:rsidR="004E3D01">
        <w:t>2036).  These projects include pump station, collection system and wastewater treatment plant improvements (pp. 11-2 through</w:t>
      </w:r>
      <w:r w:rsidR="00F62810">
        <w:t xml:space="preserve"> </w:t>
      </w:r>
      <w:r w:rsidR="004E3D01">
        <w:t>11-5). The six-year a</w:t>
      </w:r>
      <w:r w:rsidR="00F62810">
        <w:t>nd 20-year financing plan</w:t>
      </w:r>
      <w:r w:rsidR="00AB4560">
        <w:t>s indicate</w:t>
      </w:r>
      <w:r w:rsidR="00F62810">
        <w:t xml:space="preserve"> there are </w:t>
      </w:r>
      <w:r w:rsidR="00AB4560">
        <w:t xml:space="preserve">fiscal </w:t>
      </w:r>
      <w:r w:rsidR="00F62810">
        <w:t>challenges based upon existing fee structures, but also includes strategies for addressing projected funding gaps (pp. 11-6 through 11-9).</w:t>
      </w:r>
    </w:p>
    <w:p w:rsidR="00215E0F" w:rsidRDefault="00215E0F" w:rsidP="00215E0F">
      <w:pPr>
        <w:pStyle w:val="Heading4"/>
      </w:pPr>
      <w:r>
        <w:t>City of Sumas</w:t>
      </w:r>
    </w:p>
    <w:p w:rsidR="00215E0F" w:rsidRDefault="00215E0F" w:rsidP="00215E0F">
      <w:pPr>
        <w:pStyle w:val="BodyText"/>
      </w:pPr>
      <w:r>
        <w:t xml:space="preserve">The City of Sumas does not have a comprehensive sewer plan. The Sumas sewer </w:t>
      </w:r>
      <w:r w:rsidR="00180DF1">
        <w:t>system was addressed in the 2016</w:t>
      </w:r>
      <w:r>
        <w:t xml:space="preserve"> update of the Sumas Comprehensive Plan. The Sumas Comprehensive Plan address</w:t>
      </w:r>
      <w:r w:rsidR="00180DF1">
        <w:t>es the 20-year period through 2036 including a 2036 population of 2,323</w:t>
      </w:r>
      <w:r>
        <w:t xml:space="preserve">. </w:t>
      </w:r>
    </w:p>
    <w:p w:rsidR="00215E0F" w:rsidRDefault="00215E0F" w:rsidP="00215E0F">
      <w:pPr>
        <w:pStyle w:val="BodyText"/>
      </w:pPr>
      <w:r>
        <w:t xml:space="preserve">The City of Sumas owns and maintains a sewage collection and transmission system that includes gravity sewer lines and a small number of sewer lift stations. The Sumas system directs sewage to a discharge into the City of Abbottsford system in British Columbia, Canada. </w:t>
      </w:r>
    </w:p>
    <w:p w:rsidR="00215E0F" w:rsidRDefault="00215E0F" w:rsidP="00215E0F">
      <w:pPr>
        <w:pStyle w:val="BodyText"/>
      </w:pPr>
      <w:r>
        <w:t xml:space="preserve">The City has an ongoing contract with the City of Abbotsford to receive and treat sewage collected in Sumas. This contract provides for the receipt and treatment of a maximum volume of 400,000 gallons per day through December 31, 2028. Discharges from the Sumas system are metered on a daily basis. A review of City records from </w:t>
      </w:r>
      <w:r w:rsidR="001100FB">
        <w:t>January through December 2015</w:t>
      </w:r>
      <w:r>
        <w:t xml:space="preserve"> indicates that typical maximum effluent levels are approximately </w:t>
      </w:r>
      <w:r w:rsidR="001100FB">
        <w:t>227</w:t>
      </w:r>
      <w:r>
        <w:t xml:space="preserve">,000 </w:t>
      </w:r>
      <w:r w:rsidR="001100FB">
        <w:t>gallons per day total. Approximately 110,000 gallons</w:t>
      </w:r>
      <w:r>
        <w:t xml:space="preserve"> of the City’s total maximum daily discharge is generated by a single industrial customer. Using the conversion factor of 300 gallons per day per equivalent residential unit (ERU), the total contract amount equates to 1,333 ERU</w:t>
      </w:r>
      <w:r w:rsidR="001100FB">
        <w:t>s. The available capacity of 173</w:t>
      </w:r>
      <w:r>
        <w:t xml:space="preserve">,000 gallons per day is equivalent to approximately </w:t>
      </w:r>
      <w:r w:rsidR="001100FB">
        <w:t>577</w:t>
      </w:r>
      <w:r>
        <w:t xml:space="preserve"> ERUs. Excluding the one large industrial customer, which</w:t>
      </w:r>
      <w:r w:rsidR="001100FB">
        <w:t xml:space="preserve"> generates the equivalent of 367</w:t>
      </w:r>
      <w:r>
        <w:t xml:space="preserve"> ERUs, leaves an available capacity of </w:t>
      </w:r>
      <w:r w:rsidR="001100FB">
        <w:t>966</w:t>
      </w:r>
      <w:r>
        <w:t xml:space="preserve"> ERUs for the remainder of the City. This available capacity equals a </w:t>
      </w:r>
      <w:r w:rsidR="001100FB">
        <w:t>248</w:t>
      </w:r>
      <w:r>
        <w:t>% increase over the current City typ</w:t>
      </w:r>
      <w:r w:rsidR="001100FB">
        <w:t>ical maximum daily volume of 117,000 gallons per day or 390</w:t>
      </w:r>
      <w:r>
        <w:t xml:space="preserve"> ERUs (e.g., maximum daily volume without considering the single large industrial use). This CFP assumes </w:t>
      </w:r>
      <w:r w:rsidR="001100FB">
        <w:t xml:space="preserve">a population increase from 1,468 in </w:t>
      </w:r>
      <w:r w:rsidR="001100FB">
        <w:lastRenderedPageBreak/>
        <w:t>2015 to 2,323 in 2036</w:t>
      </w:r>
      <w:r>
        <w:t xml:space="preserve"> along with a comparable level </w:t>
      </w:r>
      <w:r w:rsidR="001100FB">
        <w:t xml:space="preserve">of employment, representing a </w:t>
      </w:r>
      <w:r w:rsidR="006F49BF">
        <w:t>58</w:t>
      </w:r>
      <w:r>
        <w:t xml:space="preserve">% increase through </w:t>
      </w:r>
      <w:r w:rsidR="001100FB">
        <w:t>2036</w:t>
      </w:r>
      <w:r>
        <w:t>. On this basis</w:t>
      </w:r>
      <w:r w:rsidR="0061349E">
        <w:t>,</w:t>
      </w:r>
      <w:r>
        <w:t xml:space="preserve"> it appears that Sumas has sufficient sewer service capacit</w:t>
      </w:r>
      <w:r w:rsidR="001100FB">
        <w:t>y to meet its needs through 2036</w:t>
      </w:r>
      <w:r>
        <w:t xml:space="preserve">. </w:t>
      </w:r>
    </w:p>
    <w:p w:rsidR="00B578BF" w:rsidRDefault="005263B2" w:rsidP="00215E0F">
      <w:pPr>
        <w:pStyle w:val="BodyText"/>
      </w:pPr>
      <w:r>
        <w:t xml:space="preserve">The Sumas Comprehensive Plan shows the locations of sewer main extensions necessary to serve new development in the Sumas UGA. </w:t>
      </w:r>
      <w:r w:rsidR="00215E0F">
        <w:t>All system extensions necessary to serve new development will be provided by de</w:t>
      </w:r>
      <w:r w:rsidR="006F49BF">
        <w:t xml:space="preserve">velopers. The City </w:t>
      </w:r>
      <w:r w:rsidR="00215E0F">
        <w:t xml:space="preserve">completed a sewer lift station that was designed to be deep enough to receive gravity flows from </w:t>
      </w:r>
      <w:r w:rsidR="00A008D6">
        <w:t xml:space="preserve">all </w:t>
      </w:r>
      <w:r w:rsidR="00215E0F">
        <w:t>areas within the Sumas unincorporated UGA</w:t>
      </w:r>
      <w:r w:rsidR="006F49BF">
        <w:t xml:space="preserve"> and UGA Reserve</w:t>
      </w:r>
      <w:r w:rsidR="00215E0F">
        <w:t xml:space="preserve">. </w:t>
      </w:r>
      <w:r>
        <w:t>The d</w:t>
      </w:r>
      <w:r w:rsidR="00AE7924">
        <w:t xml:space="preserve">raft </w:t>
      </w:r>
      <w:r>
        <w:t xml:space="preserve">Capital Facilities Element of the Sumas Comprehensive Plan </w:t>
      </w:r>
      <w:r w:rsidR="00AE7924">
        <w:t xml:space="preserve">(2016) </w:t>
      </w:r>
      <w:r>
        <w:t>includes a 20-year capital improvement program (2016-2036) that identifies over $480,000 in capital projects to be funded through a combination of monthly rates and charges, connection charges, and developer contracts (Table 4-1 on p. 4-4). The draft Capital Facilities Element of the Sumas Comprehensive Plan also includes a six-year financial analysis (2016-2021) indicating that the city sewer system will have sufficient revenues to cover anticipated expenditures, including capital improvement</w:t>
      </w:r>
      <w:r w:rsidR="00850348">
        <w:t xml:space="preserve"> costs, through 2021 (p. 4-25).</w:t>
      </w:r>
    </w:p>
    <w:p w:rsidR="00215E0F" w:rsidRDefault="00215E0F" w:rsidP="00215E0F">
      <w:pPr>
        <w:pStyle w:val="Heading4"/>
      </w:pPr>
      <w:r>
        <w:t>Lake Whatcom Water and Sewer Distr</w:t>
      </w:r>
      <w:r w:rsidR="00D55C95">
        <w:t>ict</w:t>
      </w:r>
    </w:p>
    <w:p w:rsidR="00B578BF" w:rsidRDefault="00B578BF" w:rsidP="00215E0F">
      <w:pPr>
        <w:pStyle w:val="BodyText"/>
      </w:pPr>
      <w:r w:rsidRPr="00B578BF">
        <w:t xml:space="preserve">The </w:t>
      </w:r>
      <w:r>
        <w:rPr>
          <w:i/>
        </w:rPr>
        <w:t>Lake Whatcom Water and Sewer District Comprehensive Sewer Plan 2014 Update</w:t>
      </w:r>
      <w:r>
        <w:t xml:space="preserve"> (2014</w:t>
      </w:r>
      <w:r w:rsidRPr="00B578BF">
        <w:t xml:space="preserve">) indicates that the </w:t>
      </w:r>
      <w:r>
        <w:t>District</w:t>
      </w:r>
      <w:r w:rsidRPr="00B578BF">
        <w:t xml:space="preserve"> maintains a wastewater collection and conveyance system comprised of gravity sewers, pump stations, and force mains.  The </w:t>
      </w:r>
      <w:r>
        <w:t>District sends wastewater to the City of Bellingham for treatment and disposal (pp. 4-16</w:t>
      </w:r>
      <w:r w:rsidRPr="00B578BF">
        <w:t xml:space="preserve">).  </w:t>
      </w:r>
      <w:r>
        <w:t>The District and the City of Bellingham have a contract for wastewater treatment and disposal through the year 2034.</w:t>
      </w:r>
      <w:r w:rsidRPr="00B578BF">
        <w:t xml:space="preserve">  The </w:t>
      </w:r>
      <w:r w:rsidRPr="00B578BF">
        <w:rPr>
          <w:i/>
        </w:rPr>
        <w:t>Lake Whatcom Water and Sewer District Comprehensive Sewer Plan 2014 Update</w:t>
      </w:r>
      <w:r w:rsidRPr="00B578BF">
        <w:t xml:space="preserve"> contains a capital improvement pr</w:t>
      </w:r>
      <w:r w:rsidR="00D55C95">
        <w:t>ogram with approximately $3</w:t>
      </w:r>
      <w:r w:rsidR="00606E8C">
        <w:t>.4</w:t>
      </w:r>
      <w:r w:rsidRPr="00B578BF">
        <w:t xml:space="preserve"> mil</w:t>
      </w:r>
      <w:r w:rsidR="00606E8C">
        <w:t>lion in capital projects over the next several years</w:t>
      </w:r>
      <w:r w:rsidRPr="00B578BF">
        <w:t xml:space="preserve"> (2016 -</w:t>
      </w:r>
      <w:r w:rsidR="00606E8C">
        <w:t xml:space="preserve"> 2019</w:t>
      </w:r>
      <w:r w:rsidRPr="00B578BF">
        <w:t>).  These projects include pump station</w:t>
      </w:r>
      <w:r w:rsidR="00606E8C">
        <w:t xml:space="preserve"> replacements</w:t>
      </w:r>
      <w:r w:rsidRPr="00B578BF">
        <w:t xml:space="preserve">, </w:t>
      </w:r>
      <w:r w:rsidR="00606E8C">
        <w:t>sewer line replacement</w:t>
      </w:r>
      <w:r w:rsidR="005E7DF4">
        <w:t>s</w:t>
      </w:r>
      <w:r w:rsidR="00B90BED">
        <w:t>, and manhole rehabilitation</w:t>
      </w:r>
      <w:r w:rsidRPr="00B578BF">
        <w:t xml:space="preserve"> (pp. </w:t>
      </w:r>
      <w:r w:rsidR="00606E8C">
        <w:t>24-25 and Exhibit K)</w:t>
      </w:r>
      <w:r w:rsidRPr="00B578BF">
        <w:t xml:space="preserve">. </w:t>
      </w:r>
      <w:r w:rsidR="00606E8C">
        <w:t xml:space="preserve">The District engages in revenue planning and reviews sewer rate structures to address future costs to the District </w:t>
      </w:r>
      <w:r w:rsidRPr="00B578BF">
        <w:t xml:space="preserve">(pp. </w:t>
      </w:r>
      <w:r w:rsidR="00D55C95">
        <w:t>19-21 and 24</w:t>
      </w:r>
      <w:r w:rsidRPr="00B578BF">
        <w:t>).</w:t>
      </w:r>
    </w:p>
    <w:p w:rsidR="00215E0F" w:rsidRDefault="00215E0F" w:rsidP="00215E0F">
      <w:pPr>
        <w:pStyle w:val="Heading4"/>
      </w:pPr>
      <w:r>
        <w:t>Water District 13</w:t>
      </w:r>
    </w:p>
    <w:p w:rsidR="00215E0F" w:rsidRDefault="009C46FB" w:rsidP="00215E0F">
      <w:pPr>
        <w:pStyle w:val="BodyText"/>
      </w:pPr>
      <w:r>
        <w:t>Water District 13</w:t>
      </w:r>
      <w:r w:rsidRPr="009C46FB">
        <w:t xml:space="preserve"> provides sewer service to a portion of the Columbia Valley UGA. </w:t>
      </w:r>
      <w:r w:rsidR="00357868">
        <w:t xml:space="preserve">The </w:t>
      </w:r>
      <w:r w:rsidR="00357868" w:rsidRPr="00357868">
        <w:rPr>
          <w:i/>
        </w:rPr>
        <w:t>Whatcom County Water District No. 13 Comprehensive Sewer Plan</w:t>
      </w:r>
      <w:r w:rsidR="00357868" w:rsidRPr="00357868">
        <w:t xml:space="preserve"> (2012) indicates that </w:t>
      </w:r>
      <w:r w:rsidR="00357868">
        <w:t xml:space="preserve">Water District 13 maintains a wastewater </w:t>
      </w:r>
      <w:r w:rsidR="00357868" w:rsidRPr="00357868">
        <w:t xml:space="preserve">system comprised of </w:t>
      </w:r>
      <w:r w:rsidR="00607308">
        <w:t>pressure and gravity sewer pipes</w:t>
      </w:r>
      <w:r w:rsidR="00357868" w:rsidRPr="00357868">
        <w:t xml:space="preserve">, pump stations, </w:t>
      </w:r>
      <w:r w:rsidR="00357868">
        <w:t xml:space="preserve">a wastewater treatment plant, </w:t>
      </w:r>
      <w:r w:rsidR="00607308">
        <w:t xml:space="preserve">and </w:t>
      </w:r>
      <w:r w:rsidR="00357868">
        <w:t xml:space="preserve">a force main </w:t>
      </w:r>
      <w:r w:rsidR="00607308">
        <w:t xml:space="preserve">that transfers flows from the treatment plant </w:t>
      </w:r>
      <w:r w:rsidR="00357868">
        <w:t>to the drainfield  (p. 5-1</w:t>
      </w:r>
      <w:r w:rsidR="00357868" w:rsidRPr="00357868">
        <w:t xml:space="preserve">).  </w:t>
      </w:r>
      <w:r w:rsidR="00212D0A">
        <w:t xml:space="preserve">The </w:t>
      </w:r>
      <w:r w:rsidR="0061349E" w:rsidRPr="00357868">
        <w:rPr>
          <w:i/>
        </w:rPr>
        <w:t>Whatcom County Water District No. 13 Comprehensive Sewer Plan</w:t>
      </w:r>
      <w:r w:rsidR="00357868" w:rsidRPr="00357868">
        <w:t xml:space="preserve"> contains a capital improveme</w:t>
      </w:r>
      <w:r w:rsidR="00212D0A">
        <w:t>nt program with approximately $11.7</w:t>
      </w:r>
      <w:r w:rsidR="00357868" w:rsidRPr="00357868">
        <w:t xml:space="preserve"> million in capital projects </w:t>
      </w:r>
      <w:r w:rsidR="00607308">
        <w:t>from 2017 to</w:t>
      </w:r>
      <w:r w:rsidR="00212D0A">
        <w:t xml:space="preserve"> 2029</w:t>
      </w:r>
      <w:r w:rsidR="00357868" w:rsidRPr="00357868">
        <w:t xml:space="preserve">.  These projects include </w:t>
      </w:r>
      <w:r w:rsidR="00212D0A">
        <w:t>re-lining lagoons in the wastewater treatment plant, replacing a pump station force main, upgrading the wastewater treatment plan</w:t>
      </w:r>
      <w:r w:rsidR="00413F3D">
        <w:t>t</w:t>
      </w:r>
      <w:r w:rsidR="00212D0A">
        <w:t xml:space="preserve"> by installing a membrane bioreactor, refurbishing chlorination equipment, and installing new pipe (p. 7-11</w:t>
      </w:r>
      <w:r w:rsidR="00357868" w:rsidRPr="00357868">
        <w:t xml:space="preserve">). The financing plan indicates </w:t>
      </w:r>
      <w:r w:rsidR="00413F3D">
        <w:t>that the District c</w:t>
      </w:r>
      <w:r w:rsidR="0061349E">
        <w:t>ould issue bonds and utilize g</w:t>
      </w:r>
      <w:r>
        <w:t xml:space="preserve">eneral facilities charges, developer extension charges, and monthly service charges to pay for capital facility improvements (pp. </w:t>
      </w:r>
      <w:r w:rsidR="00607308">
        <w:t xml:space="preserve">7-7, 7-8, </w:t>
      </w:r>
      <w:r>
        <w:t>7-14 and Figure 7.2)</w:t>
      </w:r>
      <w:r w:rsidR="00357868" w:rsidRPr="00357868">
        <w:t>.</w:t>
      </w:r>
    </w:p>
    <w:p w:rsidR="0016410F" w:rsidRDefault="0016410F" w:rsidP="00037D4F">
      <w:pPr>
        <w:pStyle w:val="BodyText"/>
      </w:pPr>
    </w:p>
    <w:p w:rsidR="009343E4" w:rsidRDefault="009343E4" w:rsidP="009343E4">
      <w:pPr>
        <w:pStyle w:val="TOAHeading"/>
      </w:pPr>
      <w:r>
        <w:lastRenderedPageBreak/>
        <w:t>Chapter 13 – Schools</w:t>
      </w:r>
    </w:p>
    <w:p w:rsidR="009343E4" w:rsidRDefault="009343E4" w:rsidP="00037D4F">
      <w:pPr>
        <w:pStyle w:val="BodyText"/>
      </w:pPr>
    </w:p>
    <w:p w:rsidR="00683E00" w:rsidRDefault="00683E00" w:rsidP="00683E00">
      <w:pPr>
        <w:pStyle w:val="Heading2"/>
      </w:pPr>
      <w:bookmarkStart w:id="40" w:name="_Toc245621852"/>
      <w:r w:rsidRPr="0045793F">
        <w:t>Schools</w:t>
      </w:r>
      <w:bookmarkEnd w:id="40"/>
    </w:p>
    <w:p w:rsidR="00307414" w:rsidRDefault="00683E00" w:rsidP="00683E00">
      <w:pPr>
        <w:pStyle w:val="BodyText"/>
      </w:pPr>
      <w:r>
        <w:t>This section evaluates the seven public school districts that serve Whatcom County</w:t>
      </w:r>
      <w:r w:rsidR="00307414">
        <w:t xml:space="preserve"> and provides:</w:t>
      </w:r>
    </w:p>
    <w:p w:rsidR="00307414" w:rsidRDefault="008E4EF3" w:rsidP="00307414">
      <w:pPr>
        <w:pStyle w:val="BodyText"/>
        <w:numPr>
          <w:ilvl w:val="0"/>
          <w:numId w:val="41"/>
        </w:numPr>
      </w:pPr>
      <w:r>
        <w:t>An inventory of current facilities, showing the existing</w:t>
      </w:r>
      <w:r w:rsidR="00307414">
        <w:t xml:space="preserve"> enrollment capacity at the elementary, middle school and high school levels;</w:t>
      </w:r>
    </w:p>
    <w:p w:rsidR="00307414" w:rsidRDefault="004A793D" w:rsidP="00307414">
      <w:pPr>
        <w:pStyle w:val="BodyText"/>
        <w:numPr>
          <w:ilvl w:val="0"/>
          <w:numId w:val="41"/>
        </w:numPr>
      </w:pPr>
      <w:r>
        <w:t>A forecast of future needs</w:t>
      </w:r>
      <w:r w:rsidR="00307414">
        <w:t>, indicating whether existing school facilities can accommodate future student enrollment projections; and</w:t>
      </w:r>
    </w:p>
    <w:p w:rsidR="00683E00" w:rsidRDefault="00307414" w:rsidP="00307414">
      <w:pPr>
        <w:pStyle w:val="BodyText"/>
        <w:numPr>
          <w:ilvl w:val="0"/>
          <w:numId w:val="41"/>
        </w:numPr>
      </w:pPr>
      <w:r>
        <w:t>Capital projects and funding, summarizing the facility improvements proposed by the districts to provide additional classroom space for future students.</w:t>
      </w:r>
    </w:p>
    <w:p w:rsidR="00683E00" w:rsidRDefault="00683E00" w:rsidP="00683E00">
      <w:pPr>
        <w:pStyle w:val="Heading3"/>
      </w:pPr>
      <w:bookmarkStart w:id="41" w:name="_Toc245621854"/>
      <w:r>
        <w:t>Inventory of Current Facilities</w:t>
      </w:r>
      <w:bookmarkEnd w:id="41"/>
    </w:p>
    <w:p w:rsidR="005A1775" w:rsidRDefault="00683E00" w:rsidP="00683E00">
      <w:pPr>
        <w:pStyle w:val="BodyText"/>
      </w:pPr>
      <w:r>
        <w:t>Inventories of the school districts’ existing facilities located in Whatcom County are p</w:t>
      </w:r>
      <w:r w:rsidR="00131E48">
        <w:t xml:space="preserve">resented in this section.  </w:t>
      </w:r>
      <w:r>
        <w:t xml:space="preserve">Each inventory includes the number of students that </w:t>
      </w:r>
      <w:r w:rsidR="004831F0">
        <w:t xml:space="preserve">the </w:t>
      </w:r>
      <w:r>
        <w:t>sc</w:t>
      </w:r>
      <w:r w:rsidR="00E24334">
        <w:t xml:space="preserve">hool </w:t>
      </w:r>
      <w:r w:rsidR="00B22427">
        <w:t xml:space="preserve">district </w:t>
      </w:r>
      <w:r w:rsidR="00E24334">
        <w:t>can accommodate (</w:t>
      </w:r>
      <w:r>
        <w:t>enrollment capacity)</w:t>
      </w:r>
      <w:r w:rsidR="00E24334">
        <w:t xml:space="preserve"> for </w:t>
      </w:r>
      <w:r w:rsidR="008E4EF3">
        <w:t xml:space="preserve">the </w:t>
      </w:r>
      <w:r w:rsidR="00E24334">
        <w:t>elementary</w:t>
      </w:r>
      <w:r w:rsidR="008E4EF3">
        <w:t>, middle school and high school grades</w:t>
      </w:r>
      <w:r>
        <w:t xml:space="preserve">. </w:t>
      </w:r>
    </w:p>
    <w:p w:rsidR="00E24334" w:rsidRDefault="00E24334" w:rsidP="00683E00">
      <w:pPr>
        <w:pStyle w:val="BodyText"/>
      </w:pPr>
    </w:p>
    <w:p w:rsidR="00683E00" w:rsidRDefault="00683E00" w:rsidP="00683E00">
      <w:pPr>
        <w:pStyle w:val="Heading4"/>
      </w:pPr>
      <w:r>
        <w:t>Bellingham School District</w:t>
      </w:r>
    </w:p>
    <w:p w:rsidR="00683E00" w:rsidRDefault="00683E00" w:rsidP="00683E00">
      <w:pPr>
        <w:pStyle w:val="BodyText"/>
      </w:pPr>
      <w:r>
        <w:t xml:space="preserve">The Bellingham School District </w:t>
      </w:r>
      <w:r w:rsidR="008E4EF3">
        <w:t>serves the majority of the City of Bellin</w:t>
      </w:r>
      <w:r w:rsidR="00AA7EBE">
        <w:t xml:space="preserve">gham and surrounding areas.  </w:t>
      </w:r>
      <w:r w:rsidR="005F4D8D" w:rsidRPr="005F4D8D">
        <w:t>The school district’s current enrollment capacity is shown below.</w:t>
      </w:r>
    </w:p>
    <w:p w:rsidR="008D0C26" w:rsidRPr="008D0C26" w:rsidRDefault="0016410F" w:rsidP="008D0C26">
      <w:pPr>
        <w:pStyle w:val="Caption"/>
      </w:pPr>
      <w:bookmarkStart w:id="42" w:name="_Toc245621954"/>
      <w:r>
        <w:t>Table 13.1</w:t>
      </w:r>
      <w:r>
        <w:tab/>
      </w:r>
      <w:r w:rsidR="00683E00">
        <w:t>Bellingham School District Current Enrollment Capacity</w:t>
      </w:r>
      <w:bookmarkEnd w:id="42"/>
    </w:p>
    <w:tbl>
      <w:tblPr>
        <w:tblW w:w="7740" w:type="dxa"/>
        <w:tblInd w:w="108" w:type="dxa"/>
        <w:tblBorders>
          <w:top w:val="single" w:sz="4" w:space="0" w:color="003366"/>
          <w:bottom w:val="single" w:sz="4" w:space="0" w:color="003366"/>
          <w:insideH w:val="single" w:sz="4" w:space="0" w:color="003366"/>
        </w:tblBorders>
        <w:tblLayout w:type="fixed"/>
        <w:tblLook w:val="04A0" w:firstRow="1" w:lastRow="0" w:firstColumn="1" w:lastColumn="0" w:noHBand="0" w:noVBand="1"/>
      </w:tblPr>
      <w:tblGrid>
        <w:gridCol w:w="2610"/>
        <w:gridCol w:w="5130"/>
      </w:tblGrid>
      <w:tr w:rsidR="00E24334" w:rsidTr="00E24334">
        <w:trPr>
          <w:cantSplit/>
          <w:tblHeader/>
        </w:trPr>
        <w:tc>
          <w:tcPr>
            <w:tcW w:w="2610" w:type="dxa"/>
            <w:tcBorders>
              <w:bottom w:val="single" w:sz="4" w:space="0" w:color="003366"/>
            </w:tcBorders>
            <w:shd w:val="clear" w:color="auto" w:fill="D9D9D9" w:themeFill="background1" w:themeFillShade="D9"/>
          </w:tcPr>
          <w:p w:rsidR="00E24334" w:rsidRDefault="00E24334" w:rsidP="005718C9">
            <w:pPr>
              <w:pStyle w:val="TableHeader"/>
              <w:jc w:val="left"/>
            </w:pPr>
            <w:r>
              <w:t>School</w:t>
            </w:r>
          </w:p>
        </w:tc>
        <w:tc>
          <w:tcPr>
            <w:tcW w:w="5130" w:type="dxa"/>
            <w:tcBorders>
              <w:bottom w:val="single" w:sz="4" w:space="0" w:color="003366"/>
            </w:tcBorders>
            <w:shd w:val="clear" w:color="auto" w:fill="D9D9D9" w:themeFill="background1" w:themeFillShade="D9"/>
          </w:tcPr>
          <w:p w:rsidR="00E24334" w:rsidRDefault="00E24334" w:rsidP="005718C9">
            <w:pPr>
              <w:pStyle w:val="TableHeader"/>
            </w:pPr>
            <w:r>
              <w:t xml:space="preserve">Total Enrollment </w:t>
            </w:r>
          </w:p>
          <w:p w:rsidR="00E24334" w:rsidRDefault="00E24334" w:rsidP="005718C9">
            <w:pPr>
              <w:pStyle w:val="TableHeader"/>
            </w:pPr>
            <w:r>
              <w:t>Capacity</w:t>
            </w:r>
          </w:p>
        </w:tc>
      </w:tr>
      <w:tr w:rsidR="00E24334" w:rsidTr="00E24334">
        <w:trPr>
          <w:cantSplit/>
        </w:trPr>
        <w:tc>
          <w:tcPr>
            <w:tcW w:w="2610" w:type="dxa"/>
            <w:shd w:val="clear" w:color="auto" w:fill="auto"/>
            <w:noWrap/>
          </w:tcPr>
          <w:p w:rsidR="00E24334" w:rsidRDefault="00E24334" w:rsidP="005718C9">
            <w:pPr>
              <w:pStyle w:val="TableText"/>
              <w:rPr>
                <w:b/>
              </w:rPr>
            </w:pPr>
            <w:r>
              <w:rPr>
                <w:b/>
              </w:rPr>
              <w:t>Elementary</w:t>
            </w:r>
          </w:p>
        </w:tc>
        <w:tc>
          <w:tcPr>
            <w:tcW w:w="5130" w:type="dxa"/>
            <w:shd w:val="clear" w:color="auto" w:fill="auto"/>
          </w:tcPr>
          <w:p w:rsidR="00E24334" w:rsidRDefault="00E24334" w:rsidP="008D0C26">
            <w:pPr>
              <w:pStyle w:val="TableText"/>
              <w:jc w:val="center"/>
            </w:pPr>
            <w:r>
              <w:t>4,815</w:t>
            </w:r>
          </w:p>
        </w:tc>
      </w:tr>
      <w:tr w:rsidR="00E24334" w:rsidTr="00E24334">
        <w:trPr>
          <w:cantSplit/>
        </w:trPr>
        <w:tc>
          <w:tcPr>
            <w:tcW w:w="2610" w:type="dxa"/>
            <w:shd w:val="clear" w:color="auto" w:fill="auto"/>
            <w:noWrap/>
          </w:tcPr>
          <w:p w:rsidR="00E24334" w:rsidRDefault="00E24334" w:rsidP="005718C9">
            <w:pPr>
              <w:pStyle w:val="TableText"/>
              <w:rPr>
                <w:b/>
              </w:rPr>
            </w:pPr>
            <w:r>
              <w:rPr>
                <w:b/>
              </w:rPr>
              <w:t>Middle School</w:t>
            </w:r>
          </w:p>
        </w:tc>
        <w:tc>
          <w:tcPr>
            <w:tcW w:w="5130" w:type="dxa"/>
            <w:shd w:val="clear" w:color="auto" w:fill="auto"/>
          </w:tcPr>
          <w:p w:rsidR="00E24334" w:rsidRDefault="00E24334" w:rsidP="008D0C26">
            <w:pPr>
              <w:pStyle w:val="TableText"/>
              <w:jc w:val="center"/>
            </w:pPr>
            <w:r>
              <w:t>2,700</w:t>
            </w:r>
          </w:p>
        </w:tc>
      </w:tr>
      <w:tr w:rsidR="00E24334" w:rsidTr="00E24334">
        <w:trPr>
          <w:cantSplit/>
        </w:trPr>
        <w:tc>
          <w:tcPr>
            <w:tcW w:w="2610" w:type="dxa"/>
            <w:shd w:val="clear" w:color="auto" w:fill="auto"/>
            <w:noWrap/>
          </w:tcPr>
          <w:p w:rsidR="00E24334" w:rsidRDefault="00E24334" w:rsidP="005718C9">
            <w:pPr>
              <w:pStyle w:val="TableText"/>
              <w:keepNext/>
              <w:rPr>
                <w:b/>
              </w:rPr>
            </w:pPr>
            <w:r>
              <w:rPr>
                <w:b/>
              </w:rPr>
              <w:t>High School</w:t>
            </w:r>
          </w:p>
        </w:tc>
        <w:tc>
          <w:tcPr>
            <w:tcW w:w="5130" w:type="dxa"/>
            <w:shd w:val="clear" w:color="auto" w:fill="auto"/>
          </w:tcPr>
          <w:p w:rsidR="00E24334" w:rsidRDefault="00E24334" w:rsidP="008D0C26">
            <w:pPr>
              <w:pStyle w:val="TableText"/>
              <w:jc w:val="center"/>
            </w:pPr>
            <w:r>
              <w:t>3</w:t>
            </w:r>
            <w:r w:rsidR="00131E48">
              <w:t>,</w:t>
            </w:r>
            <w:r>
              <w:t>350</w:t>
            </w:r>
          </w:p>
        </w:tc>
      </w:tr>
      <w:tr w:rsidR="00E24334" w:rsidTr="00E24334">
        <w:trPr>
          <w:cantSplit/>
        </w:trPr>
        <w:tc>
          <w:tcPr>
            <w:tcW w:w="2610" w:type="dxa"/>
            <w:noWrap/>
          </w:tcPr>
          <w:p w:rsidR="00E24334" w:rsidRDefault="00E24334" w:rsidP="005718C9">
            <w:pPr>
              <w:pStyle w:val="TableText"/>
              <w:rPr>
                <w:b/>
                <w:bCs/>
                <w:sz w:val="18"/>
                <w:szCs w:val="18"/>
              </w:rPr>
            </w:pPr>
            <w:r>
              <w:rPr>
                <w:b/>
                <w:bCs/>
                <w:sz w:val="18"/>
                <w:szCs w:val="18"/>
              </w:rPr>
              <w:t>Total K-12</w:t>
            </w:r>
          </w:p>
        </w:tc>
        <w:tc>
          <w:tcPr>
            <w:tcW w:w="5130" w:type="dxa"/>
          </w:tcPr>
          <w:p w:rsidR="00E24334" w:rsidRDefault="00E24334" w:rsidP="005718C9">
            <w:pPr>
              <w:pStyle w:val="TableText"/>
              <w:jc w:val="center"/>
              <w:rPr>
                <w:b/>
                <w:bCs/>
                <w:sz w:val="18"/>
                <w:szCs w:val="18"/>
              </w:rPr>
            </w:pPr>
            <w:r>
              <w:rPr>
                <w:b/>
                <w:bCs/>
                <w:sz w:val="18"/>
                <w:szCs w:val="18"/>
              </w:rPr>
              <w:t>10,865</w:t>
            </w:r>
          </w:p>
        </w:tc>
      </w:tr>
    </w:tbl>
    <w:p w:rsidR="00413007" w:rsidRDefault="00683E00" w:rsidP="00E24334">
      <w:pPr>
        <w:pStyle w:val="TableNotes"/>
        <w:ind w:left="90"/>
      </w:pPr>
      <w:r>
        <w:t xml:space="preserve">Source: Bellingham School District No. 501 Capital Facilities Plan </w:t>
      </w:r>
      <w:r w:rsidR="008D0C26">
        <w:t>2015-2021 (August 2015</w:t>
      </w:r>
      <w:r w:rsidR="005F4D8D">
        <w:t>, Table 2-A</w:t>
      </w:r>
      <w:r w:rsidR="008D0C26">
        <w:t>)</w:t>
      </w:r>
      <w:r w:rsidR="005F4D8D">
        <w:t>.</w:t>
      </w:r>
      <w:r w:rsidR="00E00630">
        <w:t xml:space="preserve"> This capacity reflects permanent and portable capacity at each grade level.</w:t>
      </w:r>
    </w:p>
    <w:p w:rsidR="00E24334" w:rsidRDefault="00E24334" w:rsidP="00E24334">
      <w:pPr>
        <w:pStyle w:val="TableNotes"/>
        <w:ind w:left="90"/>
      </w:pPr>
    </w:p>
    <w:p w:rsidR="00E24334" w:rsidRDefault="00E24334" w:rsidP="00E24334">
      <w:pPr>
        <w:pStyle w:val="TableNotes"/>
        <w:ind w:left="90"/>
      </w:pPr>
    </w:p>
    <w:p w:rsidR="00E24334" w:rsidRDefault="00E24334" w:rsidP="00E24334">
      <w:pPr>
        <w:pStyle w:val="TableNotes"/>
        <w:ind w:left="90"/>
      </w:pPr>
    </w:p>
    <w:p w:rsidR="00E24334" w:rsidRDefault="00E24334" w:rsidP="00307414">
      <w:pPr>
        <w:pStyle w:val="TableNotes"/>
      </w:pPr>
    </w:p>
    <w:p w:rsidR="00131E48" w:rsidRPr="00413007" w:rsidRDefault="00131E48" w:rsidP="00307414">
      <w:pPr>
        <w:pStyle w:val="TableNotes"/>
      </w:pPr>
    </w:p>
    <w:p w:rsidR="00683E00" w:rsidRDefault="00683E00" w:rsidP="00683E00">
      <w:pPr>
        <w:pStyle w:val="Heading4"/>
      </w:pPr>
      <w:r>
        <w:lastRenderedPageBreak/>
        <w:t>Blaine School District</w:t>
      </w:r>
    </w:p>
    <w:p w:rsidR="00683E00" w:rsidRDefault="00683E00" w:rsidP="00683E00">
      <w:pPr>
        <w:pStyle w:val="BodyText"/>
      </w:pPr>
      <w:r>
        <w:t>The Bl</w:t>
      </w:r>
      <w:r w:rsidR="004F7C64">
        <w:t>aine School District serves</w:t>
      </w:r>
      <w:r>
        <w:t xml:space="preserve"> the City o</w:t>
      </w:r>
      <w:r w:rsidR="00E24334">
        <w:t>f Blaine and its UGA, most of the Birch Bay UGA, and surrounding</w:t>
      </w:r>
      <w:r>
        <w:t xml:space="preserve"> rural areas. </w:t>
      </w:r>
      <w:r w:rsidR="005F4D8D" w:rsidRPr="005F4D8D">
        <w:t>The school district’s current enrollment capacity is shown below.</w:t>
      </w:r>
    </w:p>
    <w:p w:rsidR="00683E00" w:rsidRDefault="0016410F" w:rsidP="00683E00">
      <w:pPr>
        <w:pStyle w:val="Caption"/>
      </w:pPr>
      <w:bookmarkStart w:id="43" w:name="_Toc245621955"/>
      <w:r>
        <w:t>Table 13.2</w:t>
      </w:r>
      <w:r>
        <w:tab/>
      </w:r>
      <w:r w:rsidR="00683E00">
        <w:t>Current Enrollment Capacity</w:t>
      </w:r>
      <w:bookmarkEnd w:id="43"/>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2430"/>
        <w:gridCol w:w="5310"/>
      </w:tblGrid>
      <w:tr w:rsidR="00B42A91" w:rsidTr="00B42A91">
        <w:trPr>
          <w:cantSplit/>
          <w:tblHeader/>
        </w:trPr>
        <w:tc>
          <w:tcPr>
            <w:tcW w:w="2430" w:type="dxa"/>
            <w:tcBorders>
              <w:bottom w:val="single" w:sz="4" w:space="0" w:color="003366"/>
            </w:tcBorders>
            <w:shd w:val="clear" w:color="auto" w:fill="D9D9D9" w:themeFill="background1" w:themeFillShade="D9"/>
          </w:tcPr>
          <w:p w:rsidR="00B42A91" w:rsidRDefault="00B42A91" w:rsidP="005718C9">
            <w:pPr>
              <w:pStyle w:val="TableHeader"/>
              <w:jc w:val="left"/>
            </w:pPr>
            <w:r>
              <w:t>School</w:t>
            </w:r>
          </w:p>
        </w:tc>
        <w:tc>
          <w:tcPr>
            <w:tcW w:w="5310" w:type="dxa"/>
            <w:tcBorders>
              <w:bottom w:val="single" w:sz="4" w:space="0" w:color="003366"/>
            </w:tcBorders>
            <w:shd w:val="clear" w:color="auto" w:fill="D9D9D9" w:themeFill="background1" w:themeFillShade="D9"/>
          </w:tcPr>
          <w:p w:rsidR="00185459" w:rsidRDefault="00185459" w:rsidP="005718C9">
            <w:pPr>
              <w:pStyle w:val="TableHeader"/>
            </w:pPr>
            <w:r>
              <w:t xml:space="preserve">Total </w:t>
            </w:r>
            <w:r w:rsidR="00B42A91">
              <w:t xml:space="preserve">Enrollment </w:t>
            </w:r>
          </w:p>
          <w:p w:rsidR="00B42A91" w:rsidRDefault="00B42A91" w:rsidP="005718C9">
            <w:pPr>
              <w:pStyle w:val="TableHeader"/>
            </w:pPr>
            <w:r>
              <w:t>Capacity</w:t>
            </w:r>
          </w:p>
        </w:tc>
      </w:tr>
      <w:tr w:rsidR="00B42A91" w:rsidTr="00B42A91">
        <w:trPr>
          <w:cantSplit/>
        </w:trPr>
        <w:tc>
          <w:tcPr>
            <w:tcW w:w="2430" w:type="dxa"/>
            <w:shd w:val="clear" w:color="auto" w:fill="auto"/>
            <w:noWrap/>
          </w:tcPr>
          <w:p w:rsidR="00B42A91" w:rsidRDefault="00B42A91" w:rsidP="005718C9">
            <w:pPr>
              <w:pStyle w:val="TableText"/>
              <w:rPr>
                <w:b/>
              </w:rPr>
            </w:pPr>
            <w:r>
              <w:rPr>
                <w:b/>
              </w:rPr>
              <w:t>Elementary</w:t>
            </w:r>
          </w:p>
        </w:tc>
        <w:tc>
          <w:tcPr>
            <w:tcW w:w="5310" w:type="dxa"/>
            <w:shd w:val="clear" w:color="auto" w:fill="auto"/>
          </w:tcPr>
          <w:p w:rsidR="00B42A91" w:rsidRDefault="00B42A91" w:rsidP="00B42A91">
            <w:pPr>
              <w:pStyle w:val="TableText"/>
              <w:tabs>
                <w:tab w:val="left" w:pos="807"/>
              </w:tabs>
              <w:jc w:val="center"/>
            </w:pPr>
            <w:r>
              <w:t>1,120</w:t>
            </w:r>
          </w:p>
        </w:tc>
      </w:tr>
      <w:tr w:rsidR="00B42A91" w:rsidTr="00B42A91">
        <w:trPr>
          <w:cantSplit/>
        </w:trPr>
        <w:tc>
          <w:tcPr>
            <w:tcW w:w="2430" w:type="dxa"/>
            <w:shd w:val="clear" w:color="auto" w:fill="auto"/>
            <w:noWrap/>
          </w:tcPr>
          <w:p w:rsidR="00B42A91" w:rsidRDefault="00B42A91" w:rsidP="005718C9">
            <w:pPr>
              <w:pStyle w:val="TableText"/>
              <w:rPr>
                <w:b/>
              </w:rPr>
            </w:pPr>
            <w:r>
              <w:rPr>
                <w:b/>
              </w:rPr>
              <w:t>Middle School</w:t>
            </w:r>
          </w:p>
        </w:tc>
        <w:tc>
          <w:tcPr>
            <w:tcW w:w="5310" w:type="dxa"/>
            <w:shd w:val="clear" w:color="auto" w:fill="auto"/>
          </w:tcPr>
          <w:p w:rsidR="00B42A91" w:rsidRDefault="00B42A91" w:rsidP="00B42A91">
            <w:pPr>
              <w:pStyle w:val="TableText"/>
              <w:jc w:val="center"/>
            </w:pPr>
            <w:r>
              <w:t>540</w:t>
            </w:r>
          </w:p>
        </w:tc>
      </w:tr>
      <w:tr w:rsidR="00B42A91" w:rsidTr="00B42A91">
        <w:trPr>
          <w:cantSplit/>
        </w:trPr>
        <w:tc>
          <w:tcPr>
            <w:tcW w:w="2430" w:type="dxa"/>
            <w:shd w:val="clear" w:color="auto" w:fill="auto"/>
            <w:noWrap/>
          </w:tcPr>
          <w:p w:rsidR="00B42A91" w:rsidRDefault="00E24334" w:rsidP="005718C9">
            <w:pPr>
              <w:pStyle w:val="TableText"/>
              <w:rPr>
                <w:b/>
              </w:rPr>
            </w:pPr>
            <w:r>
              <w:rPr>
                <w:b/>
              </w:rPr>
              <w:t>High</w:t>
            </w:r>
            <w:r w:rsidR="005320AE">
              <w:rPr>
                <w:b/>
              </w:rPr>
              <w:t xml:space="preserve"> School</w:t>
            </w:r>
          </w:p>
        </w:tc>
        <w:tc>
          <w:tcPr>
            <w:tcW w:w="5310" w:type="dxa"/>
            <w:shd w:val="clear" w:color="auto" w:fill="auto"/>
          </w:tcPr>
          <w:p w:rsidR="00B42A91" w:rsidRDefault="00B42A91" w:rsidP="00B42A91">
            <w:pPr>
              <w:pStyle w:val="TableText"/>
              <w:jc w:val="center"/>
            </w:pPr>
            <w:r>
              <w:t>740</w:t>
            </w:r>
          </w:p>
        </w:tc>
      </w:tr>
      <w:tr w:rsidR="00B42A91" w:rsidTr="00B42A91">
        <w:trPr>
          <w:cantSplit/>
        </w:trPr>
        <w:tc>
          <w:tcPr>
            <w:tcW w:w="2430" w:type="dxa"/>
            <w:noWrap/>
          </w:tcPr>
          <w:p w:rsidR="00B42A91" w:rsidRDefault="00B42A91" w:rsidP="005718C9">
            <w:pPr>
              <w:pStyle w:val="TableText"/>
              <w:rPr>
                <w:b/>
              </w:rPr>
            </w:pPr>
            <w:r>
              <w:rPr>
                <w:b/>
              </w:rPr>
              <w:t>Total K-12</w:t>
            </w:r>
          </w:p>
        </w:tc>
        <w:tc>
          <w:tcPr>
            <w:tcW w:w="5310" w:type="dxa"/>
          </w:tcPr>
          <w:p w:rsidR="00B42A91" w:rsidRDefault="00B42A91" w:rsidP="00B42A91">
            <w:pPr>
              <w:pStyle w:val="TableText"/>
              <w:jc w:val="center"/>
              <w:rPr>
                <w:b/>
              </w:rPr>
            </w:pPr>
            <w:r>
              <w:rPr>
                <w:b/>
              </w:rPr>
              <w:t>2,400</w:t>
            </w:r>
          </w:p>
        </w:tc>
      </w:tr>
    </w:tbl>
    <w:p w:rsidR="00683E00" w:rsidRDefault="00683E00" w:rsidP="00683E00">
      <w:pPr>
        <w:pStyle w:val="TableNotes"/>
        <w:ind w:left="90"/>
      </w:pPr>
      <w:r>
        <w:t>Sourc</w:t>
      </w:r>
      <w:r w:rsidR="00B42A91">
        <w:t>e: Blaine School District Capital Facilities Plan (December 2015</w:t>
      </w:r>
      <w:r w:rsidR="004F7C64">
        <w:t>, p. 6</w:t>
      </w:r>
      <w:r>
        <w:t>).</w:t>
      </w:r>
    </w:p>
    <w:p w:rsidR="00306C66" w:rsidRDefault="00306C66" w:rsidP="005320AE">
      <w:pPr>
        <w:pStyle w:val="TableNotes"/>
      </w:pPr>
    </w:p>
    <w:p w:rsidR="00306C66" w:rsidRDefault="00306C66" w:rsidP="00683E00">
      <w:pPr>
        <w:pStyle w:val="TableNotes"/>
        <w:ind w:left="90"/>
      </w:pPr>
    </w:p>
    <w:p w:rsidR="00683E00" w:rsidRDefault="00683E00" w:rsidP="00683E00">
      <w:pPr>
        <w:pStyle w:val="Heading4"/>
      </w:pPr>
      <w:r>
        <w:t>Ferndale School District</w:t>
      </w:r>
    </w:p>
    <w:p w:rsidR="00683E00" w:rsidRDefault="00683E00" w:rsidP="00683E00">
      <w:pPr>
        <w:pStyle w:val="BodyText"/>
      </w:pPr>
      <w:r>
        <w:t>The Fern</w:t>
      </w:r>
      <w:r w:rsidR="00D72418">
        <w:t>dale School District serves</w:t>
      </w:r>
      <w:r w:rsidR="00131E48">
        <w:t xml:space="preserve"> the City of Ferndale and</w:t>
      </w:r>
      <w:r>
        <w:t xml:space="preserve"> its UGA, and rural areas including the Lummi Reservation and Lummi Island. </w:t>
      </w:r>
      <w:r w:rsidR="005F4D8D" w:rsidRPr="005F4D8D">
        <w:t>The school district’s current enrollment capacity is shown below.</w:t>
      </w:r>
    </w:p>
    <w:p w:rsidR="00683E00" w:rsidRDefault="0016410F" w:rsidP="00683E00">
      <w:pPr>
        <w:pStyle w:val="Caption"/>
      </w:pPr>
      <w:bookmarkStart w:id="44" w:name="_Toc245621956"/>
      <w:r>
        <w:t>Table 13.3</w:t>
      </w:r>
      <w:r>
        <w:tab/>
      </w:r>
      <w:r w:rsidR="00683E00">
        <w:t>Current Enrollment Capacity</w:t>
      </w:r>
      <w:bookmarkEnd w:id="44"/>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2430"/>
        <w:gridCol w:w="5310"/>
      </w:tblGrid>
      <w:tr w:rsidR="00185459" w:rsidTr="00BD2D6F">
        <w:trPr>
          <w:cantSplit/>
          <w:tblHeader/>
        </w:trPr>
        <w:tc>
          <w:tcPr>
            <w:tcW w:w="2430" w:type="dxa"/>
            <w:tcBorders>
              <w:bottom w:val="single" w:sz="4" w:space="0" w:color="003366"/>
            </w:tcBorders>
            <w:shd w:val="clear" w:color="auto" w:fill="D9D9D9" w:themeFill="background1" w:themeFillShade="D9"/>
          </w:tcPr>
          <w:p w:rsidR="00185459" w:rsidRDefault="00185459" w:rsidP="00BD2D6F">
            <w:pPr>
              <w:pStyle w:val="TableHeader"/>
              <w:jc w:val="left"/>
            </w:pPr>
            <w:r>
              <w:t>School</w:t>
            </w:r>
          </w:p>
        </w:tc>
        <w:tc>
          <w:tcPr>
            <w:tcW w:w="5310" w:type="dxa"/>
            <w:tcBorders>
              <w:bottom w:val="single" w:sz="4" w:space="0" w:color="003366"/>
            </w:tcBorders>
            <w:shd w:val="clear" w:color="auto" w:fill="D9D9D9" w:themeFill="background1" w:themeFillShade="D9"/>
          </w:tcPr>
          <w:p w:rsidR="00185459" w:rsidRDefault="00185459" w:rsidP="00BD2D6F">
            <w:pPr>
              <w:pStyle w:val="TableHeader"/>
            </w:pPr>
            <w:r>
              <w:t xml:space="preserve">Total Enrollment </w:t>
            </w:r>
          </w:p>
          <w:p w:rsidR="00185459" w:rsidRDefault="00185459" w:rsidP="00BD2D6F">
            <w:pPr>
              <w:pStyle w:val="TableHeader"/>
            </w:pPr>
            <w:r>
              <w:t>Capacity</w:t>
            </w:r>
          </w:p>
        </w:tc>
      </w:tr>
      <w:tr w:rsidR="00185459" w:rsidTr="00BD2D6F">
        <w:trPr>
          <w:cantSplit/>
        </w:trPr>
        <w:tc>
          <w:tcPr>
            <w:tcW w:w="2430" w:type="dxa"/>
            <w:shd w:val="clear" w:color="auto" w:fill="auto"/>
            <w:noWrap/>
          </w:tcPr>
          <w:p w:rsidR="00185459" w:rsidRDefault="00185459" w:rsidP="00BD2D6F">
            <w:pPr>
              <w:pStyle w:val="TableText"/>
              <w:rPr>
                <w:b/>
              </w:rPr>
            </w:pPr>
            <w:r>
              <w:rPr>
                <w:b/>
              </w:rPr>
              <w:t>Elementary</w:t>
            </w:r>
          </w:p>
        </w:tc>
        <w:tc>
          <w:tcPr>
            <w:tcW w:w="5310" w:type="dxa"/>
            <w:shd w:val="clear" w:color="auto" w:fill="auto"/>
          </w:tcPr>
          <w:p w:rsidR="00185459" w:rsidRDefault="00185459" w:rsidP="00BD2D6F">
            <w:pPr>
              <w:pStyle w:val="TableText"/>
              <w:tabs>
                <w:tab w:val="left" w:pos="807"/>
              </w:tabs>
              <w:jc w:val="center"/>
            </w:pPr>
            <w:r>
              <w:t>2,975</w:t>
            </w:r>
          </w:p>
        </w:tc>
      </w:tr>
      <w:tr w:rsidR="00185459" w:rsidTr="00BD2D6F">
        <w:trPr>
          <w:cantSplit/>
        </w:trPr>
        <w:tc>
          <w:tcPr>
            <w:tcW w:w="2430" w:type="dxa"/>
            <w:shd w:val="clear" w:color="auto" w:fill="auto"/>
            <w:noWrap/>
          </w:tcPr>
          <w:p w:rsidR="00185459" w:rsidRDefault="00185459" w:rsidP="00BD2D6F">
            <w:pPr>
              <w:pStyle w:val="TableText"/>
              <w:rPr>
                <w:b/>
              </w:rPr>
            </w:pPr>
            <w:r>
              <w:rPr>
                <w:b/>
              </w:rPr>
              <w:t>Middle School</w:t>
            </w:r>
          </w:p>
        </w:tc>
        <w:tc>
          <w:tcPr>
            <w:tcW w:w="5310" w:type="dxa"/>
            <w:shd w:val="clear" w:color="auto" w:fill="auto"/>
          </w:tcPr>
          <w:p w:rsidR="00185459" w:rsidRDefault="00185459" w:rsidP="00BD2D6F">
            <w:pPr>
              <w:pStyle w:val="TableText"/>
              <w:jc w:val="center"/>
            </w:pPr>
            <w:r>
              <w:t>1,300</w:t>
            </w:r>
          </w:p>
        </w:tc>
      </w:tr>
      <w:tr w:rsidR="00185459" w:rsidTr="00BD2D6F">
        <w:trPr>
          <w:cantSplit/>
        </w:trPr>
        <w:tc>
          <w:tcPr>
            <w:tcW w:w="2430" w:type="dxa"/>
            <w:shd w:val="clear" w:color="auto" w:fill="auto"/>
            <w:noWrap/>
          </w:tcPr>
          <w:p w:rsidR="00185459" w:rsidRDefault="005320AE" w:rsidP="00BD2D6F">
            <w:pPr>
              <w:pStyle w:val="TableText"/>
              <w:rPr>
                <w:b/>
              </w:rPr>
            </w:pPr>
            <w:r>
              <w:rPr>
                <w:b/>
              </w:rPr>
              <w:t>High School</w:t>
            </w:r>
          </w:p>
        </w:tc>
        <w:tc>
          <w:tcPr>
            <w:tcW w:w="5310" w:type="dxa"/>
            <w:shd w:val="clear" w:color="auto" w:fill="auto"/>
          </w:tcPr>
          <w:p w:rsidR="00185459" w:rsidRDefault="00185459" w:rsidP="00BD2D6F">
            <w:pPr>
              <w:pStyle w:val="TableText"/>
              <w:jc w:val="center"/>
            </w:pPr>
            <w:r>
              <w:t>1,925</w:t>
            </w:r>
          </w:p>
        </w:tc>
      </w:tr>
      <w:tr w:rsidR="00185459" w:rsidTr="00BD2D6F">
        <w:trPr>
          <w:cantSplit/>
        </w:trPr>
        <w:tc>
          <w:tcPr>
            <w:tcW w:w="2430" w:type="dxa"/>
            <w:noWrap/>
          </w:tcPr>
          <w:p w:rsidR="00185459" w:rsidRDefault="00185459" w:rsidP="00BD2D6F">
            <w:pPr>
              <w:pStyle w:val="TableText"/>
              <w:rPr>
                <w:b/>
              </w:rPr>
            </w:pPr>
            <w:r>
              <w:rPr>
                <w:b/>
              </w:rPr>
              <w:t>Total K-12</w:t>
            </w:r>
          </w:p>
        </w:tc>
        <w:tc>
          <w:tcPr>
            <w:tcW w:w="5310" w:type="dxa"/>
          </w:tcPr>
          <w:p w:rsidR="00185459" w:rsidRDefault="00D72418" w:rsidP="00BD2D6F">
            <w:pPr>
              <w:pStyle w:val="TableText"/>
              <w:jc w:val="center"/>
              <w:rPr>
                <w:b/>
              </w:rPr>
            </w:pPr>
            <w:r>
              <w:rPr>
                <w:b/>
              </w:rPr>
              <w:t>6,2</w:t>
            </w:r>
            <w:r w:rsidR="00185459">
              <w:rPr>
                <w:b/>
              </w:rPr>
              <w:t>00</w:t>
            </w:r>
          </w:p>
        </w:tc>
      </w:tr>
    </w:tbl>
    <w:p w:rsidR="00683E00" w:rsidRDefault="00683E00" w:rsidP="00843322">
      <w:pPr>
        <w:pStyle w:val="TableNotes"/>
        <w:ind w:left="360" w:hanging="360"/>
      </w:pPr>
      <w:r>
        <w:t>Source: F</w:t>
      </w:r>
      <w:r w:rsidR="005320AE">
        <w:t>erndale Schools Capital Facilities</w:t>
      </w:r>
      <w:r>
        <w:t xml:space="preserve"> Plan and School Imp</w:t>
      </w:r>
      <w:r w:rsidR="00185459">
        <w:t>act Fee Ordinance (April 2013</w:t>
      </w:r>
      <w:r w:rsidR="00D72418">
        <w:t>, p. 3</w:t>
      </w:r>
      <w:r>
        <w:t>).</w:t>
      </w:r>
    </w:p>
    <w:p w:rsidR="00683E00" w:rsidRDefault="00683E00" w:rsidP="00683E00">
      <w:pPr>
        <w:pStyle w:val="Heading4"/>
      </w:pPr>
      <w:r>
        <w:br w:type="page"/>
      </w:r>
      <w:r>
        <w:lastRenderedPageBreak/>
        <w:t>Lynden School District</w:t>
      </w:r>
    </w:p>
    <w:p w:rsidR="00683E00" w:rsidRDefault="00683E00" w:rsidP="00683E00">
      <w:pPr>
        <w:pStyle w:val="BodyText"/>
      </w:pPr>
      <w:r>
        <w:t>The Ly</w:t>
      </w:r>
      <w:r w:rsidR="00D72418">
        <w:t>nden School District serves</w:t>
      </w:r>
      <w:r>
        <w:t xml:space="preserve"> the City of Lynden and its UGA</w:t>
      </w:r>
      <w:r w:rsidR="005320AE">
        <w:t xml:space="preserve">, </w:t>
      </w:r>
      <w:r w:rsidR="00B22427">
        <w:t xml:space="preserve">and </w:t>
      </w:r>
      <w:r w:rsidR="005320AE">
        <w:t>surrounding agricultural</w:t>
      </w:r>
      <w:r w:rsidR="00B22427">
        <w:t xml:space="preserve"> and</w:t>
      </w:r>
      <w:r w:rsidR="005320AE">
        <w:t xml:space="preserve"> </w:t>
      </w:r>
      <w:r>
        <w:t xml:space="preserve">rural areas. The school district’s current enrollment capacity is </w:t>
      </w:r>
      <w:r w:rsidR="00E85668">
        <w:t>shown below</w:t>
      </w:r>
      <w:r>
        <w:t>.</w:t>
      </w:r>
    </w:p>
    <w:p w:rsidR="00683E00" w:rsidRDefault="0016410F" w:rsidP="00683E00">
      <w:pPr>
        <w:pStyle w:val="Caption"/>
        <w:spacing w:before="0"/>
      </w:pPr>
      <w:bookmarkStart w:id="45" w:name="_Toc245621957"/>
      <w:r>
        <w:t>Table 13.4</w:t>
      </w:r>
      <w:r>
        <w:tab/>
      </w:r>
      <w:r w:rsidR="00683E00">
        <w:t>Current Enrollment Capacity</w:t>
      </w:r>
      <w:bookmarkEnd w:id="45"/>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2430"/>
        <w:gridCol w:w="5310"/>
      </w:tblGrid>
      <w:tr w:rsidR="008D47E1" w:rsidTr="00BD2D6F">
        <w:trPr>
          <w:cantSplit/>
          <w:tblHeader/>
        </w:trPr>
        <w:tc>
          <w:tcPr>
            <w:tcW w:w="2430" w:type="dxa"/>
            <w:tcBorders>
              <w:bottom w:val="single" w:sz="4" w:space="0" w:color="003366"/>
            </w:tcBorders>
            <w:shd w:val="clear" w:color="auto" w:fill="D9D9D9" w:themeFill="background1" w:themeFillShade="D9"/>
          </w:tcPr>
          <w:p w:rsidR="008D47E1" w:rsidRDefault="008D47E1" w:rsidP="00BD2D6F">
            <w:pPr>
              <w:pStyle w:val="TableHeader"/>
              <w:jc w:val="left"/>
            </w:pPr>
            <w:r>
              <w:t>School</w:t>
            </w:r>
          </w:p>
        </w:tc>
        <w:tc>
          <w:tcPr>
            <w:tcW w:w="5310" w:type="dxa"/>
            <w:tcBorders>
              <w:bottom w:val="single" w:sz="4" w:space="0" w:color="003366"/>
            </w:tcBorders>
            <w:shd w:val="clear" w:color="auto" w:fill="D9D9D9" w:themeFill="background1" w:themeFillShade="D9"/>
          </w:tcPr>
          <w:p w:rsidR="008D47E1" w:rsidRDefault="008D47E1" w:rsidP="00BD2D6F">
            <w:pPr>
              <w:pStyle w:val="TableHeader"/>
            </w:pPr>
            <w:r>
              <w:t xml:space="preserve">Total Enrollment </w:t>
            </w:r>
          </w:p>
          <w:p w:rsidR="008D47E1" w:rsidRDefault="008D47E1" w:rsidP="00BD2D6F">
            <w:pPr>
              <w:pStyle w:val="TableHeader"/>
            </w:pPr>
            <w:r>
              <w:t>Capacity</w:t>
            </w:r>
          </w:p>
        </w:tc>
      </w:tr>
      <w:tr w:rsidR="008D47E1" w:rsidTr="00BD2D6F">
        <w:trPr>
          <w:cantSplit/>
        </w:trPr>
        <w:tc>
          <w:tcPr>
            <w:tcW w:w="2430" w:type="dxa"/>
            <w:shd w:val="clear" w:color="auto" w:fill="auto"/>
            <w:noWrap/>
          </w:tcPr>
          <w:p w:rsidR="008D47E1" w:rsidRDefault="008D47E1" w:rsidP="00BD2D6F">
            <w:pPr>
              <w:pStyle w:val="TableText"/>
              <w:rPr>
                <w:b/>
              </w:rPr>
            </w:pPr>
            <w:r>
              <w:rPr>
                <w:b/>
              </w:rPr>
              <w:t>Elementary</w:t>
            </w:r>
          </w:p>
        </w:tc>
        <w:tc>
          <w:tcPr>
            <w:tcW w:w="5310" w:type="dxa"/>
            <w:shd w:val="clear" w:color="auto" w:fill="auto"/>
          </w:tcPr>
          <w:p w:rsidR="008D47E1" w:rsidRDefault="008D47E1" w:rsidP="00BD2D6F">
            <w:pPr>
              <w:pStyle w:val="TableText"/>
              <w:tabs>
                <w:tab w:val="left" w:pos="807"/>
              </w:tabs>
              <w:jc w:val="center"/>
            </w:pPr>
            <w:r>
              <w:t>1,350</w:t>
            </w:r>
          </w:p>
        </w:tc>
      </w:tr>
      <w:tr w:rsidR="008D47E1" w:rsidTr="00BD2D6F">
        <w:trPr>
          <w:cantSplit/>
        </w:trPr>
        <w:tc>
          <w:tcPr>
            <w:tcW w:w="2430" w:type="dxa"/>
            <w:shd w:val="clear" w:color="auto" w:fill="auto"/>
            <w:noWrap/>
          </w:tcPr>
          <w:p w:rsidR="008D47E1" w:rsidRDefault="008D47E1" w:rsidP="00BD2D6F">
            <w:pPr>
              <w:pStyle w:val="TableText"/>
              <w:rPr>
                <w:b/>
              </w:rPr>
            </w:pPr>
            <w:r>
              <w:rPr>
                <w:b/>
              </w:rPr>
              <w:t>Middle School</w:t>
            </w:r>
          </w:p>
        </w:tc>
        <w:tc>
          <w:tcPr>
            <w:tcW w:w="5310" w:type="dxa"/>
            <w:shd w:val="clear" w:color="auto" w:fill="auto"/>
          </w:tcPr>
          <w:p w:rsidR="008D47E1" w:rsidRDefault="008D47E1" w:rsidP="00BD2D6F">
            <w:pPr>
              <w:pStyle w:val="TableText"/>
              <w:jc w:val="center"/>
            </w:pPr>
            <w:r>
              <w:t>600</w:t>
            </w:r>
          </w:p>
        </w:tc>
      </w:tr>
      <w:tr w:rsidR="008D47E1" w:rsidTr="00BD2D6F">
        <w:trPr>
          <w:cantSplit/>
        </w:trPr>
        <w:tc>
          <w:tcPr>
            <w:tcW w:w="2430" w:type="dxa"/>
            <w:shd w:val="clear" w:color="auto" w:fill="auto"/>
            <w:noWrap/>
          </w:tcPr>
          <w:p w:rsidR="008D47E1" w:rsidRDefault="005320AE" w:rsidP="00BD2D6F">
            <w:pPr>
              <w:pStyle w:val="TableText"/>
              <w:rPr>
                <w:b/>
              </w:rPr>
            </w:pPr>
            <w:r>
              <w:rPr>
                <w:b/>
              </w:rPr>
              <w:t>High School</w:t>
            </w:r>
          </w:p>
        </w:tc>
        <w:tc>
          <w:tcPr>
            <w:tcW w:w="5310" w:type="dxa"/>
            <w:shd w:val="clear" w:color="auto" w:fill="auto"/>
          </w:tcPr>
          <w:p w:rsidR="008D47E1" w:rsidRDefault="008D47E1" w:rsidP="00BD2D6F">
            <w:pPr>
              <w:pStyle w:val="TableText"/>
              <w:jc w:val="center"/>
            </w:pPr>
            <w:r>
              <w:t>700</w:t>
            </w:r>
          </w:p>
        </w:tc>
      </w:tr>
      <w:tr w:rsidR="008D47E1" w:rsidTr="00BD2D6F">
        <w:trPr>
          <w:cantSplit/>
        </w:trPr>
        <w:tc>
          <w:tcPr>
            <w:tcW w:w="2430" w:type="dxa"/>
            <w:noWrap/>
          </w:tcPr>
          <w:p w:rsidR="008D47E1" w:rsidRDefault="008D47E1" w:rsidP="00BD2D6F">
            <w:pPr>
              <w:pStyle w:val="TableText"/>
              <w:rPr>
                <w:b/>
              </w:rPr>
            </w:pPr>
            <w:r>
              <w:rPr>
                <w:b/>
              </w:rPr>
              <w:t>Total K-12</w:t>
            </w:r>
          </w:p>
        </w:tc>
        <w:tc>
          <w:tcPr>
            <w:tcW w:w="5310" w:type="dxa"/>
          </w:tcPr>
          <w:p w:rsidR="008D47E1" w:rsidRDefault="008D47E1" w:rsidP="00BD2D6F">
            <w:pPr>
              <w:pStyle w:val="TableText"/>
              <w:jc w:val="center"/>
              <w:rPr>
                <w:b/>
              </w:rPr>
            </w:pPr>
            <w:r>
              <w:rPr>
                <w:b/>
              </w:rPr>
              <w:t>2,650</w:t>
            </w:r>
          </w:p>
        </w:tc>
      </w:tr>
    </w:tbl>
    <w:p w:rsidR="00683E00" w:rsidRDefault="00683E00" w:rsidP="00683E00">
      <w:pPr>
        <w:pStyle w:val="TableNotes"/>
      </w:pPr>
      <w:r>
        <w:t>Source: Lynden S</w:t>
      </w:r>
      <w:r w:rsidR="005320AE">
        <w:t xml:space="preserve">chool District </w:t>
      </w:r>
      <w:r>
        <w:t>Capital Fac</w:t>
      </w:r>
      <w:r w:rsidR="00DD124A">
        <w:t>ilities Plan (Feb. 2016</w:t>
      </w:r>
      <w:r w:rsidR="00D72418">
        <w:t>, p. 5</w:t>
      </w:r>
      <w:r>
        <w:t>)</w:t>
      </w:r>
    </w:p>
    <w:p w:rsidR="00864E92" w:rsidRDefault="00864E92" w:rsidP="00683E00">
      <w:pPr>
        <w:pStyle w:val="TableNotes"/>
      </w:pPr>
    </w:p>
    <w:p w:rsidR="00A90249" w:rsidRDefault="00A90249" w:rsidP="00683E00">
      <w:pPr>
        <w:pStyle w:val="TableNotes"/>
      </w:pPr>
    </w:p>
    <w:p w:rsidR="00A90249" w:rsidRDefault="00A90249" w:rsidP="00683E00">
      <w:pPr>
        <w:pStyle w:val="TableNotes"/>
      </w:pPr>
    </w:p>
    <w:p w:rsidR="00683E00" w:rsidRDefault="00683E00" w:rsidP="00683E00">
      <w:pPr>
        <w:pStyle w:val="Heading4"/>
        <w:spacing w:before="0"/>
      </w:pPr>
      <w:r>
        <w:t>Meridian School District</w:t>
      </w:r>
    </w:p>
    <w:p w:rsidR="00683E00" w:rsidRDefault="00D72418" w:rsidP="00683E00">
      <w:pPr>
        <w:pStyle w:val="BodyText"/>
      </w:pPr>
      <w:r>
        <w:t>The Meridian School District serves</w:t>
      </w:r>
      <w:r w:rsidR="00683E00">
        <w:t xml:space="preserve"> mostly rural</w:t>
      </w:r>
      <w:r>
        <w:t xml:space="preserve"> areas</w:t>
      </w:r>
      <w:r w:rsidR="00A90249">
        <w:t>, although the</w:t>
      </w:r>
      <w:r w:rsidR="00B22427">
        <w:t xml:space="preserve"> City of Bellingham extends into the</w:t>
      </w:r>
      <w:r w:rsidR="00A90249">
        <w:t xml:space="preserve"> southern portion of the District</w:t>
      </w:r>
      <w:r w:rsidR="00B22427">
        <w:t>.</w:t>
      </w:r>
      <w:r w:rsidR="00683E00">
        <w:t xml:space="preserve"> </w:t>
      </w:r>
      <w:r w:rsidR="005F4D8D" w:rsidRPr="005F4D8D">
        <w:t>The school district’s current enrollment capacity is shown below.</w:t>
      </w:r>
    </w:p>
    <w:p w:rsidR="00683E00" w:rsidRDefault="0016410F" w:rsidP="00683E00">
      <w:pPr>
        <w:pStyle w:val="Caption"/>
        <w:spacing w:before="240"/>
      </w:pPr>
      <w:bookmarkStart w:id="46" w:name="_Toc245621958"/>
      <w:r>
        <w:t>Table 13.5</w:t>
      </w:r>
      <w:r>
        <w:tab/>
      </w:r>
      <w:r w:rsidR="00683E00">
        <w:t>Current Enrollment Capacity</w:t>
      </w:r>
      <w:bookmarkEnd w:id="46"/>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3240"/>
        <w:gridCol w:w="4500"/>
      </w:tblGrid>
      <w:tr w:rsidR="008D47E1" w:rsidTr="008D47E1">
        <w:trPr>
          <w:cantSplit/>
          <w:tblHeader/>
        </w:trPr>
        <w:tc>
          <w:tcPr>
            <w:tcW w:w="3240" w:type="dxa"/>
            <w:tcBorders>
              <w:bottom w:val="single" w:sz="4" w:space="0" w:color="003366"/>
            </w:tcBorders>
            <w:shd w:val="clear" w:color="auto" w:fill="D9D9D9" w:themeFill="background1" w:themeFillShade="D9"/>
          </w:tcPr>
          <w:p w:rsidR="008D47E1" w:rsidRDefault="008D47E1" w:rsidP="00BD2D6F">
            <w:pPr>
              <w:pStyle w:val="TableHeader"/>
              <w:jc w:val="left"/>
            </w:pPr>
            <w:r>
              <w:t>School</w:t>
            </w:r>
          </w:p>
        </w:tc>
        <w:tc>
          <w:tcPr>
            <w:tcW w:w="4500" w:type="dxa"/>
            <w:tcBorders>
              <w:bottom w:val="single" w:sz="4" w:space="0" w:color="003366"/>
            </w:tcBorders>
            <w:shd w:val="clear" w:color="auto" w:fill="D9D9D9" w:themeFill="background1" w:themeFillShade="D9"/>
          </w:tcPr>
          <w:p w:rsidR="008D47E1" w:rsidRDefault="008D47E1" w:rsidP="00BD2D6F">
            <w:pPr>
              <w:pStyle w:val="TableHeader"/>
            </w:pPr>
            <w:r>
              <w:t xml:space="preserve">Total Enrollment </w:t>
            </w:r>
          </w:p>
          <w:p w:rsidR="008D47E1" w:rsidRDefault="008D47E1" w:rsidP="00BD2D6F">
            <w:pPr>
              <w:pStyle w:val="TableHeader"/>
            </w:pPr>
            <w:r>
              <w:t>Capacity</w:t>
            </w:r>
          </w:p>
        </w:tc>
      </w:tr>
      <w:tr w:rsidR="008D47E1" w:rsidTr="008D47E1">
        <w:trPr>
          <w:cantSplit/>
        </w:trPr>
        <w:tc>
          <w:tcPr>
            <w:tcW w:w="3240" w:type="dxa"/>
            <w:shd w:val="clear" w:color="auto" w:fill="auto"/>
            <w:noWrap/>
          </w:tcPr>
          <w:p w:rsidR="008D47E1" w:rsidRDefault="008D47E1" w:rsidP="00131E48">
            <w:pPr>
              <w:pStyle w:val="TableText"/>
              <w:rPr>
                <w:b/>
              </w:rPr>
            </w:pPr>
            <w:r>
              <w:rPr>
                <w:b/>
              </w:rPr>
              <w:t>Elementary</w:t>
            </w:r>
          </w:p>
        </w:tc>
        <w:tc>
          <w:tcPr>
            <w:tcW w:w="4500" w:type="dxa"/>
            <w:shd w:val="clear" w:color="auto" w:fill="auto"/>
          </w:tcPr>
          <w:p w:rsidR="008D47E1" w:rsidRDefault="00D72418" w:rsidP="00BD2D6F">
            <w:pPr>
              <w:pStyle w:val="TableText"/>
              <w:tabs>
                <w:tab w:val="left" w:pos="807"/>
              </w:tabs>
              <w:jc w:val="center"/>
            </w:pPr>
            <w:r>
              <w:t>888</w:t>
            </w:r>
            <w:r w:rsidR="00131E48" w:rsidRPr="00131E48">
              <w:rPr>
                <w:vertAlign w:val="superscript"/>
              </w:rPr>
              <w:t>1</w:t>
            </w:r>
          </w:p>
        </w:tc>
      </w:tr>
      <w:tr w:rsidR="008D47E1" w:rsidTr="008D47E1">
        <w:trPr>
          <w:cantSplit/>
        </w:trPr>
        <w:tc>
          <w:tcPr>
            <w:tcW w:w="3240" w:type="dxa"/>
            <w:shd w:val="clear" w:color="auto" w:fill="auto"/>
            <w:noWrap/>
          </w:tcPr>
          <w:p w:rsidR="008D47E1" w:rsidRDefault="00562DDA" w:rsidP="00BD2D6F">
            <w:pPr>
              <w:pStyle w:val="TableText"/>
              <w:rPr>
                <w:b/>
              </w:rPr>
            </w:pPr>
            <w:r w:rsidRPr="00562DDA">
              <w:rPr>
                <w:b/>
              </w:rPr>
              <w:t>Middle School</w:t>
            </w:r>
          </w:p>
        </w:tc>
        <w:tc>
          <w:tcPr>
            <w:tcW w:w="4500" w:type="dxa"/>
            <w:shd w:val="clear" w:color="auto" w:fill="auto"/>
          </w:tcPr>
          <w:p w:rsidR="008D47E1" w:rsidRDefault="008D47E1" w:rsidP="00BD2D6F">
            <w:pPr>
              <w:pStyle w:val="TableText"/>
              <w:jc w:val="center"/>
            </w:pPr>
            <w:r>
              <w:t>494</w:t>
            </w:r>
          </w:p>
        </w:tc>
      </w:tr>
      <w:tr w:rsidR="008D47E1" w:rsidTr="008D47E1">
        <w:trPr>
          <w:cantSplit/>
        </w:trPr>
        <w:tc>
          <w:tcPr>
            <w:tcW w:w="3240" w:type="dxa"/>
            <w:shd w:val="clear" w:color="auto" w:fill="auto"/>
            <w:noWrap/>
          </w:tcPr>
          <w:p w:rsidR="008D47E1" w:rsidRDefault="00A90249" w:rsidP="00BD2D6F">
            <w:pPr>
              <w:pStyle w:val="TableText"/>
              <w:rPr>
                <w:b/>
              </w:rPr>
            </w:pPr>
            <w:r>
              <w:rPr>
                <w:b/>
              </w:rPr>
              <w:t>High School</w:t>
            </w:r>
          </w:p>
        </w:tc>
        <w:tc>
          <w:tcPr>
            <w:tcW w:w="4500" w:type="dxa"/>
            <w:shd w:val="clear" w:color="auto" w:fill="auto"/>
          </w:tcPr>
          <w:p w:rsidR="008D47E1" w:rsidRDefault="008D47E1" w:rsidP="00BD2D6F">
            <w:pPr>
              <w:pStyle w:val="TableText"/>
              <w:jc w:val="center"/>
            </w:pPr>
            <w:r>
              <w:t>870</w:t>
            </w:r>
          </w:p>
        </w:tc>
      </w:tr>
      <w:tr w:rsidR="008D47E1" w:rsidTr="008D47E1">
        <w:trPr>
          <w:cantSplit/>
        </w:trPr>
        <w:tc>
          <w:tcPr>
            <w:tcW w:w="3240" w:type="dxa"/>
            <w:noWrap/>
          </w:tcPr>
          <w:p w:rsidR="008D47E1" w:rsidRDefault="008D47E1" w:rsidP="00BD2D6F">
            <w:pPr>
              <w:pStyle w:val="TableText"/>
              <w:rPr>
                <w:b/>
              </w:rPr>
            </w:pPr>
            <w:r>
              <w:rPr>
                <w:b/>
              </w:rPr>
              <w:t>Total K-12</w:t>
            </w:r>
          </w:p>
        </w:tc>
        <w:tc>
          <w:tcPr>
            <w:tcW w:w="4500" w:type="dxa"/>
          </w:tcPr>
          <w:p w:rsidR="008D47E1" w:rsidRDefault="008D47E1" w:rsidP="00BD2D6F">
            <w:pPr>
              <w:pStyle w:val="TableText"/>
              <w:jc w:val="center"/>
              <w:rPr>
                <w:b/>
              </w:rPr>
            </w:pPr>
            <w:r>
              <w:rPr>
                <w:b/>
              </w:rPr>
              <w:t>2,252</w:t>
            </w:r>
          </w:p>
        </w:tc>
      </w:tr>
    </w:tbl>
    <w:p w:rsidR="00683E00" w:rsidRDefault="00683E00" w:rsidP="00683E00">
      <w:pPr>
        <w:pStyle w:val="TableNotes"/>
        <w:ind w:left="720" w:hanging="630"/>
      </w:pPr>
      <w:r>
        <w:t>Source: Meridian School District No. 5</w:t>
      </w:r>
      <w:r w:rsidR="008D47E1">
        <w:t xml:space="preserve">05 Capital Facilities Plan </w:t>
      </w:r>
      <w:r>
        <w:t>2015</w:t>
      </w:r>
      <w:r w:rsidR="00BD326C">
        <w:t>-2021 (June</w:t>
      </w:r>
      <w:r w:rsidR="008D47E1">
        <w:t xml:space="preserve"> 2015</w:t>
      </w:r>
      <w:r w:rsidR="00D72418">
        <w:t>, p. 5</w:t>
      </w:r>
      <w:r>
        <w:t>).</w:t>
      </w:r>
    </w:p>
    <w:p w:rsidR="00B12C8E" w:rsidRDefault="00D72418" w:rsidP="00B12C8E">
      <w:pPr>
        <w:pStyle w:val="Heading4"/>
        <w:numPr>
          <w:ilvl w:val="0"/>
          <w:numId w:val="39"/>
        </w:numPr>
        <w:rPr>
          <w:rFonts w:ascii="Times New Roman" w:hAnsi="Times New Roman" w:cs="Times New Roman"/>
          <w:b w:val="0"/>
          <w:color w:val="000000" w:themeColor="text1"/>
          <w:sz w:val="18"/>
          <w:szCs w:val="18"/>
        </w:rPr>
      </w:pPr>
      <w:r>
        <w:rPr>
          <w:rFonts w:ascii="Times New Roman" w:hAnsi="Times New Roman" w:cs="Times New Roman"/>
          <w:b w:val="0"/>
          <w:color w:val="000000" w:themeColor="text1"/>
          <w:sz w:val="18"/>
          <w:szCs w:val="18"/>
        </w:rPr>
        <w:t xml:space="preserve">Capacity includes Irene Reither Elementary School and </w:t>
      </w:r>
      <w:r w:rsidR="00B12C8E" w:rsidRPr="00B12C8E">
        <w:rPr>
          <w:rFonts w:ascii="Times New Roman" w:hAnsi="Times New Roman" w:cs="Times New Roman"/>
          <w:b w:val="0"/>
          <w:color w:val="000000" w:themeColor="text1"/>
          <w:sz w:val="18"/>
          <w:szCs w:val="18"/>
        </w:rPr>
        <w:t xml:space="preserve">Ten Mile Creek </w:t>
      </w:r>
      <w:r>
        <w:rPr>
          <w:rFonts w:ascii="Times New Roman" w:hAnsi="Times New Roman" w:cs="Times New Roman"/>
          <w:b w:val="0"/>
          <w:color w:val="000000" w:themeColor="text1"/>
          <w:sz w:val="18"/>
          <w:szCs w:val="18"/>
        </w:rPr>
        <w:t xml:space="preserve">Elementary </w:t>
      </w:r>
      <w:r w:rsidR="00B12C8E" w:rsidRPr="00B12C8E">
        <w:rPr>
          <w:rFonts w:ascii="Times New Roman" w:hAnsi="Times New Roman" w:cs="Times New Roman"/>
          <w:b w:val="0"/>
          <w:color w:val="000000" w:themeColor="text1"/>
          <w:sz w:val="18"/>
          <w:szCs w:val="18"/>
        </w:rPr>
        <w:t>School</w:t>
      </w:r>
      <w:r>
        <w:rPr>
          <w:rFonts w:ascii="Times New Roman" w:hAnsi="Times New Roman" w:cs="Times New Roman"/>
          <w:b w:val="0"/>
          <w:color w:val="000000" w:themeColor="text1"/>
          <w:sz w:val="18"/>
          <w:szCs w:val="18"/>
        </w:rPr>
        <w:t xml:space="preserve"> (which currently provides space for the Parent Partnership Program)</w:t>
      </w:r>
      <w:r w:rsidR="00B12C8E" w:rsidRPr="00B12C8E">
        <w:rPr>
          <w:rFonts w:ascii="Times New Roman" w:hAnsi="Times New Roman" w:cs="Times New Roman"/>
          <w:b w:val="0"/>
          <w:color w:val="000000" w:themeColor="text1"/>
          <w:sz w:val="18"/>
          <w:szCs w:val="18"/>
        </w:rPr>
        <w:t>.</w:t>
      </w:r>
      <w:r w:rsidR="00B12C8E">
        <w:rPr>
          <w:rFonts w:ascii="Times New Roman" w:hAnsi="Times New Roman" w:cs="Times New Roman"/>
          <w:b w:val="0"/>
          <w:color w:val="000000" w:themeColor="text1"/>
          <w:sz w:val="18"/>
          <w:szCs w:val="18"/>
        </w:rPr>
        <w:t xml:space="preserve">  </w:t>
      </w:r>
    </w:p>
    <w:p w:rsidR="00683E00" w:rsidRDefault="00683E00" w:rsidP="004D7BC3">
      <w:pPr>
        <w:pStyle w:val="Heading4"/>
      </w:pPr>
      <w:r>
        <w:br w:type="page"/>
      </w:r>
      <w:r>
        <w:lastRenderedPageBreak/>
        <w:t>Mount Baker School District</w:t>
      </w:r>
    </w:p>
    <w:p w:rsidR="00683E00" w:rsidRDefault="00683E00" w:rsidP="00683E00">
      <w:pPr>
        <w:pStyle w:val="BodyText"/>
      </w:pPr>
      <w:r>
        <w:t xml:space="preserve">The Mount Baker School District serves the Columbia Valley UGA and rural areas in eastern Whatcom County. </w:t>
      </w:r>
      <w:r w:rsidR="005F4D8D" w:rsidRPr="005F4D8D">
        <w:t>The school district’s current enrollment capacity is shown below.</w:t>
      </w:r>
    </w:p>
    <w:p w:rsidR="00683E00" w:rsidRDefault="0016410F" w:rsidP="00683E00">
      <w:pPr>
        <w:pStyle w:val="Caption"/>
        <w:spacing w:before="240"/>
      </w:pPr>
      <w:bookmarkStart w:id="47" w:name="_Toc245621959"/>
      <w:r>
        <w:t>Table 13.6</w:t>
      </w:r>
      <w:r>
        <w:tab/>
      </w:r>
      <w:r w:rsidR="00683E00">
        <w:t>Current Enrollment Capacity</w:t>
      </w:r>
      <w:bookmarkEnd w:id="47"/>
      <w:r w:rsidR="00683E00">
        <w:t xml:space="preserve"> </w:t>
      </w:r>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2430"/>
        <w:gridCol w:w="5310"/>
      </w:tblGrid>
      <w:tr w:rsidR="00E85668" w:rsidTr="00BD2D6F">
        <w:trPr>
          <w:cantSplit/>
          <w:tblHeader/>
        </w:trPr>
        <w:tc>
          <w:tcPr>
            <w:tcW w:w="2430" w:type="dxa"/>
            <w:tcBorders>
              <w:bottom w:val="single" w:sz="4" w:space="0" w:color="003366"/>
            </w:tcBorders>
            <w:shd w:val="clear" w:color="auto" w:fill="D9D9D9" w:themeFill="background1" w:themeFillShade="D9"/>
          </w:tcPr>
          <w:p w:rsidR="00E85668" w:rsidRDefault="00E85668" w:rsidP="00BD2D6F">
            <w:pPr>
              <w:pStyle w:val="TableHeader"/>
              <w:jc w:val="left"/>
            </w:pPr>
            <w:r>
              <w:t>School</w:t>
            </w:r>
          </w:p>
        </w:tc>
        <w:tc>
          <w:tcPr>
            <w:tcW w:w="5310" w:type="dxa"/>
            <w:tcBorders>
              <w:bottom w:val="single" w:sz="4" w:space="0" w:color="003366"/>
            </w:tcBorders>
            <w:shd w:val="clear" w:color="auto" w:fill="D9D9D9" w:themeFill="background1" w:themeFillShade="D9"/>
          </w:tcPr>
          <w:p w:rsidR="00E85668" w:rsidRDefault="00E85668" w:rsidP="00BD2D6F">
            <w:pPr>
              <w:pStyle w:val="TableHeader"/>
            </w:pPr>
            <w:r>
              <w:t xml:space="preserve">Total Enrollment </w:t>
            </w:r>
          </w:p>
          <w:p w:rsidR="00E85668" w:rsidRDefault="00E85668" w:rsidP="00BD2D6F">
            <w:pPr>
              <w:pStyle w:val="TableHeader"/>
            </w:pPr>
            <w:r>
              <w:t>Capacity</w:t>
            </w:r>
          </w:p>
        </w:tc>
      </w:tr>
      <w:tr w:rsidR="00E85668" w:rsidTr="00BD2D6F">
        <w:trPr>
          <w:cantSplit/>
        </w:trPr>
        <w:tc>
          <w:tcPr>
            <w:tcW w:w="2430" w:type="dxa"/>
            <w:shd w:val="clear" w:color="auto" w:fill="auto"/>
            <w:noWrap/>
          </w:tcPr>
          <w:p w:rsidR="00E85668" w:rsidRDefault="00E85668" w:rsidP="00BD2D6F">
            <w:pPr>
              <w:pStyle w:val="TableText"/>
              <w:rPr>
                <w:b/>
              </w:rPr>
            </w:pPr>
            <w:r>
              <w:rPr>
                <w:b/>
              </w:rPr>
              <w:t>Elementary</w:t>
            </w:r>
          </w:p>
        </w:tc>
        <w:tc>
          <w:tcPr>
            <w:tcW w:w="5310" w:type="dxa"/>
            <w:shd w:val="clear" w:color="auto" w:fill="auto"/>
          </w:tcPr>
          <w:p w:rsidR="00E85668" w:rsidRDefault="00E85668" w:rsidP="00BD2D6F">
            <w:pPr>
              <w:pStyle w:val="TableText"/>
              <w:tabs>
                <w:tab w:val="left" w:pos="807"/>
              </w:tabs>
              <w:jc w:val="center"/>
            </w:pPr>
            <w:r>
              <w:t>1,255</w:t>
            </w:r>
          </w:p>
        </w:tc>
      </w:tr>
      <w:tr w:rsidR="00E85668" w:rsidTr="00BD2D6F">
        <w:trPr>
          <w:cantSplit/>
        </w:trPr>
        <w:tc>
          <w:tcPr>
            <w:tcW w:w="2430" w:type="dxa"/>
            <w:shd w:val="clear" w:color="auto" w:fill="auto"/>
            <w:noWrap/>
          </w:tcPr>
          <w:p w:rsidR="00E85668" w:rsidRDefault="00E85668" w:rsidP="00BD2D6F">
            <w:pPr>
              <w:pStyle w:val="TableText"/>
              <w:rPr>
                <w:b/>
              </w:rPr>
            </w:pPr>
            <w:r>
              <w:rPr>
                <w:b/>
              </w:rPr>
              <w:t>Middle School</w:t>
            </w:r>
          </w:p>
        </w:tc>
        <w:tc>
          <w:tcPr>
            <w:tcW w:w="5310" w:type="dxa"/>
            <w:shd w:val="clear" w:color="auto" w:fill="auto"/>
          </w:tcPr>
          <w:p w:rsidR="00E85668" w:rsidRDefault="00E85668" w:rsidP="00BD2D6F">
            <w:pPr>
              <w:pStyle w:val="TableText"/>
              <w:jc w:val="center"/>
            </w:pPr>
            <w:r>
              <w:t>428</w:t>
            </w:r>
          </w:p>
        </w:tc>
      </w:tr>
      <w:tr w:rsidR="00E85668" w:rsidTr="00BD2D6F">
        <w:trPr>
          <w:cantSplit/>
        </w:trPr>
        <w:tc>
          <w:tcPr>
            <w:tcW w:w="2430" w:type="dxa"/>
            <w:shd w:val="clear" w:color="auto" w:fill="auto"/>
            <w:noWrap/>
          </w:tcPr>
          <w:p w:rsidR="00E85668" w:rsidRDefault="00B12C8E" w:rsidP="00BD2D6F">
            <w:pPr>
              <w:pStyle w:val="TableText"/>
              <w:rPr>
                <w:b/>
              </w:rPr>
            </w:pPr>
            <w:r>
              <w:rPr>
                <w:b/>
              </w:rPr>
              <w:t>High</w:t>
            </w:r>
            <w:r w:rsidR="00300DBF">
              <w:rPr>
                <w:b/>
              </w:rPr>
              <w:t xml:space="preserve"> School</w:t>
            </w:r>
          </w:p>
        </w:tc>
        <w:tc>
          <w:tcPr>
            <w:tcW w:w="5310" w:type="dxa"/>
            <w:shd w:val="clear" w:color="auto" w:fill="auto"/>
          </w:tcPr>
          <w:p w:rsidR="00E85668" w:rsidRDefault="00E85668" w:rsidP="00BD2D6F">
            <w:pPr>
              <w:pStyle w:val="TableText"/>
              <w:jc w:val="center"/>
            </w:pPr>
            <w:r>
              <w:t>944</w:t>
            </w:r>
          </w:p>
        </w:tc>
      </w:tr>
      <w:tr w:rsidR="00E85668" w:rsidTr="00BD2D6F">
        <w:trPr>
          <w:cantSplit/>
        </w:trPr>
        <w:tc>
          <w:tcPr>
            <w:tcW w:w="2430" w:type="dxa"/>
            <w:noWrap/>
          </w:tcPr>
          <w:p w:rsidR="00E85668" w:rsidRDefault="00E85668" w:rsidP="00BD2D6F">
            <w:pPr>
              <w:pStyle w:val="TableText"/>
              <w:rPr>
                <w:b/>
              </w:rPr>
            </w:pPr>
            <w:r>
              <w:rPr>
                <w:b/>
              </w:rPr>
              <w:t>Total K-12</w:t>
            </w:r>
          </w:p>
        </w:tc>
        <w:tc>
          <w:tcPr>
            <w:tcW w:w="5310" w:type="dxa"/>
          </w:tcPr>
          <w:p w:rsidR="00E85668" w:rsidRDefault="00E85668" w:rsidP="00BD2D6F">
            <w:pPr>
              <w:pStyle w:val="TableText"/>
              <w:jc w:val="center"/>
              <w:rPr>
                <w:b/>
              </w:rPr>
            </w:pPr>
            <w:r>
              <w:rPr>
                <w:b/>
              </w:rPr>
              <w:t>2,627</w:t>
            </w:r>
          </w:p>
        </w:tc>
      </w:tr>
    </w:tbl>
    <w:p w:rsidR="00683E00" w:rsidRDefault="00683E00" w:rsidP="00683E00">
      <w:pPr>
        <w:pStyle w:val="TableNotes"/>
        <w:ind w:left="720" w:hanging="630"/>
      </w:pPr>
      <w:r>
        <w:t>Source: Mount Baker School District Capital Facilities Plan (May 2013</w:t>
      </w:r>
      <w:r w:rsidR="00D72418">
        <w:t>, p. 6</w:t>
      </w:r>
      <w:r>
        <w:t xml:space="preserve">). </w:t>
      </w:r>
    </w:p>
    <w:p w:rsidR="00B12C8E" w:rsidRDefault="00B12C8E" w:rsidP="00683E00">
      <w:pPr>
        <w:pStyle w:val="Heading4"/>
      </w:pPr>
    </w:p>
    <w:p w:rsidR="00683E00" w:rsidRDefault="00683E00" w:rsidP="00683E00">
      <w:pPr>
        <w:pStyle w:val="Heading4"/>
      </w:pPr>
      <w:r>
        <w:t>Nooksack Valley School District</w:t>
      </w:r>
    </w:p>
    <w:p w:rsidR="00683E00" w:rsidRDefault="00683E00" w:rsidP="00683E00">
      <w:pPr>
        <w:pStyle w:val="BodyText"/>
      </w:pPr>
      <w:r>
        <w:t xml:space="preserve">The Nooksack Valley School District </w:t>
      </w:r>
      <w:r w:rsidR="00D72418">
        <w:t>serves</w:t>
      </w:r>
      <w:r>
        <w:t xml:space="preserve"> the cit</w:t>
      </w:r>
      <w:r w:rsidR="004D7BC3">
        <w:t>ies of Everson, Nooksack, Sumas</w:t>
      </w:r>
      <w:r>
        <w:t xml:space="preserve"> and th</w:t>
      </w:r>
      <w:r w:rsidR="004D7BC3">
        <w:t>eir associated UGAs,</w:t>
      </w:r>
      <w:r w:rsidR="00B22427">
        <w:t xml:space="preserve"> and</w:t>
      </w:r>
      <w:r w:rsidR="004D7BC3">
        <w:t xml:space="preserve"> </w:t>
      </w:r>
      <w:r w:rsidR="00B22427">
        <w:t xml:space="preserve">surrounding </w:t>
      </w:r>
      <w:r w:rsidR="004D7BC3">
        <w:t xml:space="preserve">agricultural </w:t>
      </w:r>
      <w:r w:rsidR="00B22427">
        <w:t xml:space="preserve">and rural </w:t>
      </w:r>
      <w:r w:rsidR="004D7BC3">
        <w:t>areas</w:t>
      </w:r>
      <w:r>
        <w:t xml:space="preserve">. </w:t>
      </w:r>
      <w:r w:rsidR="005F4D8D" w:rsidRPr="005F4D8D">
        <w:t>The school district’s current enrollment capacity is shown below.</w:t>
      </w:r>
    </w:p>
    <w:p w:rsidR="00683E00" w:rsidRDefault="0016410F" w:rsidP="00683E00">
      <w:pPr>
        <w:pStyle w:val="Caption"/>
      </w:pPr>
      <w:bookmarkStart w:id="48" w:name="_Toc245621960"/>
      <w:r>
        <w:t>Table 13.7</w:t>
      </w:r>
      <w:r>
        <w:tab/>
      </w:r>
      <w:r w:rsidR="00683E00">
        <w:t>Current Enrollment Capacity</w:t>
      </w:r>
      <w:bookmarkEnd w:id="48"/>
    </w:p>
    <w:tbl>
      <w:tblPr>
        <w:tblW w:w="7740" w:type="dxa"/>
        <w:tblInd w:w="108" w:type="dxa"/>
        <w:tblBorders>
          <w:top w:val="single" w:sz="4" w:space="0" w:color="003366"/>
          <w:bottom w:val="single" w:sz="4" w:space="0" w:color="003366"/>
          <w:insideH w:val="single" w:sz="4" w:space="0" w:color="003366"/>
        </w:tblBorders>
        <w:tblLook w:val="0000" w:firstRow="0" w:lastRow="0" w:firstColumn="0" w:lastColumn="0" w:noHBand="0" w:noVBand="0"/>
      </w:tblPr>
      <w:tblGrid>
        <w:gridCol w:w="2430"/>
        <w:gridCol w:w="5310"/>
      </w:tblGrid>
      <w:tr w:rsidR="00D033CD" w:rsidTr="00BD2D6F">
        <w:trPr>
          <w:cantSplit/>
          <w:tblHeader/>
        </w:trPr>
        <w:tc>
          <w:tcPr>
            <w:tcW w:w="2430" w:type="dxa"/>
            <w:tcBorders>
              <w:bottom w:val="single" w:sz="4" w:space="0" w:color="003366"/>
            </w:tcBorders>
            <w:shd w:val="clear" w:color="auto" w:fill="D9D9D9" w:themeFill="background1" w:themeFillShade="D9"/>
          </w:tcPr>
          <w:p w:rsidR="00D033CD" w:rsidRDefault="00D033CD" w:rsidP="00BD2D6F">
            <w:pPr>
              <w:pStyle w:val="TableHeader"/>
              <w:jc w:val="left"/>
            </w:pPr>
            <w:r>
              <w:t>School</w:t>
            </w:r>
          </w:p>
        </w:tc>
        <w:tc>
          <w:tcPr>
            <w:tcW w:w="5310" w:type="dxa"/>
            <w:tcBorders>
              <w:bottom w:val="single" w:sz="4" w:space="0" w:color="003366"/>
            </w:tcBorders>
            <w:shd w:val="clear" w:color="auto" w:fill="D9D9D9" w:themeFill="background1" w:themeFillShade="D9"/>
          </w:tcPr>
          <w:p w:rsidR="00D033CD" w:rsidRDefault="00D033CD" w:rsidP="00BD2D6F">
            <w:pPr>
              <w:pStyle w:val="TableHeader"/>
            </w:pPr>
            <w:r>
              <w:t xml:space="preserve">Total Enrollment </w:t>
            </w:r>
          </w:p>
          <w:p w:rsidR="00D033CD" w:rsidRDefault="00D033CD" w:rsidP="00BD2D6F">
            <w:pPr>
              <w:pStyle w:val="TableHeader"/>
            </w:pPr>
            <w:r>
              <w:t>Capacity</w:t>
            </w:r>
          </w:p>
        </w:tc>
      </w:tr>
      <w:tr w:rsidR="00D033CD" w:rsidTr="00BD2D6F">
        <w:trPr>
          <w:cantSplit/>
        </w:trPr>
        <w:tc>
          <w:tcPr>
            <w:tcW w:w="2430" w:type="dxa"/>
            <w:shd w:val="clear" w:color="auto" w:fill="auto"/>
            <w:noWrap/>
          </w:tcPr>
          <w:p w:rsidR="00D033CD" w:rsidRDefault="00D033CD" w:rsidP="00BD2D6F">
            <w:pPr>
              <w:pStyle w:val="TableText"/>
              <w:rPr>
                <w:b/>
              </w:rPr>
            </w:pPr>
            <w:r>
              <w:rPr>
                <w:b/>
              </w:rPr>
              <w:t>Elementary</w:t>
            </w:r>
          </w:p>
        </w:tc>
        <w:tc>
          <w:tcPr>
            <w:tcW w:w="5310" w:type="dxa"/>
            <w:shd w:val="clear" w:color="auto" w:fill="auto"/>
          </w:tcPr>
          <w:p w:rsidR="00D033CD" w:rsidRDefault="004E0802" w:rsidP="00BD2D6F">
            <w:pPr>
              <w:pStyle w:val="TableText"/>
              <w:tabs>
                <w:tab w:val="left" w:pos="807"/>
              </w:tabs>
              <w:jc w:val="center"/>
            </w:pPr>
            <w:r>
              <w:t>1,180</w:t>
            </w:r>
          </w:p>
        </w:tc>
      </w:tr>
      <w:tr w:rsidR="00D033CD" w:rsidTr="00BD2D6F">
        <w:trPr>
          <w:cantSplit/>
        </w:trPr>
        <w:tc>
          <w:tcPr>
            <w:tcW w:w="2430" w:type="dxa"/>
            <w:shd w:val="clear" w:color="auto" w:fill="auto"/>
            <w:noWrap/>
          </w:tcPr>
          <w:p w:rsidR="00D033CD" w:rsidRDefault="00D033CD" w:rsidP="00BD2D6F">
            <w:pPr>
              <w:pStyle w:val="TableText"/>
              <w:rPr>
                <w:b/>
              </w:rPr>
            </w:pPr>
            <w:r>
              <w:rPr>
                <w:b/>
              </w:rPr>
              <w:t>Middle School</w:t>
            </w:r>
          </w:p>
        </w:tc>
        <w:tc>
          <w:tcPr>
            <w:tcW w:w="5310" w:type="dxa"/>
            <w:shd w:val="clear" w:color="auto" w:fill="auto"/>
          </w:tcPr>
          <w:p w:rsidR="00D033CD" w:rsidRDefault="004E0802" w:rsidP="00BD2D6F">
            <w:pPr>
              <w:pStyle w:val="TableText"/>
              <w:jc w:val="center"/>
            </w:pPr>
            <w:r>
              <w:t>650</w:t>
            </w:r>
          </w:p>
        </w:tc>
      </w:tr>
      <w:tr w:rsidR="00D033CD" w:rsidTr="00BD2D6F">
        <w:trPr>
          <w:cantSplit/>
        </w:trPr>
        <w:tc>
          <w:tcPr>
            <w:tcW w:w="2430" w:type="dxa"/>
            <w:shd w:val="clear" w:color="auto" w:fill="auto"/>
            <w:noWrap/>
          </w:tcPr>
          <w:p w:rsidR="00D033CD" w:rsidRDefault="004D7BC3" w:rsidP="00BD2D6F">
            <w:pPr>
              <w:pStyle w:val="TableText"/>
              <w:rPr>
                <w:b/>
              </w:rPr>
            </w:pPr>
            <w:r>
              <w:rPr>
                <w:b/>
              </w:rPr>
              <w:t>High School</w:t>
            </w:r>
          </w:p>
        </w:tc>
        <w:tc>
          <w:tcPr>
            <w:tcW w:w="5310" w:type="dxa"/>
            <w:shd w:val="clear" w:color="auto" w:fill="auto"/>
          </w:tcPr>
          <w:p w:rsidR="00D033CD" w:rsidRDefault="004E0802" w:rsidP="00BD2D6F">
            <w:pPr>
              <w:pStyle w:val="TableText"/>
              <w:jc w:val="center"/>
            </w:pPr>
            <w:r>
              <w:t>1,320</w:t>
            </w:r>
          </w:p>
        </w:tc>
      </w:tr>
      <w:tr w:rsidR="00D033CD" w:rsidTr="00BD2D6F">
        <w:trPr>
          <w:cantSplit/>
        </w:trPr>
        <w:tc>
          <w:tcPr>
            <w:tcW w:w="2430" w:type="dxa"/>
            <w:noWrap/>
          </w:tcPr>
          <w:p w:rsidR="00D033CD" w:rsidRDefault="00D033CD" w:rsidP="00BD2D6F">
            <w:pPr>
              <w:pStyle w:val="TableText"/>
              <w:rPr>
                <w:b/>
              </w:rPr>
            </w:pPr>
            <w:r>
              <w:rPr>
                <w:b/>
              </w:rPr>
              <w:t>Total K-12</w:t>
            </w:r>
          </w:p>
        </w:tc>
        <w:tc>
          <w:tcPr>
            <w:tcW w:w="5310" w:type="dxa"/>
          </w:tcPr>
          <w:p w:rsidR="00D033CD" w:rsidRDefault="004E0802" w:rsidP="00BD2D6F">
            <w:pPr>
              <w:pStyle w:val="TableText"/>
              <w:jc w:val="center"/>
              <w:rPr>
                <w:b/>
              </w:rPr>
            </w:pPr>
            <w:r>
              <w:rPr>
                <w:b/>
              </w:rPr>
              <w:t>3,150</w:t>
            </w:r>
          </w:p>
        </w:tc>
      </w:tr>
    </w:tbl>
    <w:p w:rsidR="00E62751" w:rsidRDefault="004E0802" w:rsidP="004E0802">
      <w:pPr>
        <w:pStyle w:val="TableNotes"/>
        <w:ind w:left="90"/>
      </w:pPr>
      <w:bookmarkStart w:id="49" w:name="_Toc245621855"/>
      <w:r>
        <w:t>Source:</w:t>
      </w:r>
      <w:r w:rsidRPr="004E0802">
        <w:t xml:space="preserve"> </w:t>
      </w:r>
      <w:r w:rsidR="00D72418" w:rsidRPr="00D72418">
        <w:t>Everson</w:t>
      </w:r>
      <w:r w:rsidR="00D72418">
        <w:t>/</w:t>
      </w:r>
      <w:r w:rsidRPr="004E0802">
        <w:t xml:space="preserve">Nooksack/Sumas </w:t>
      </w:r>
      <w:r>
        <w:t xml:space="preserve">City Planner </w:t>
      </w:r>
      <w:r w:rsidRPr="004E0802">
        <w:t xml:space="preserve">e-mail of March 7, 2016.  </w:t>
      </w:r>
    </w:p>
    <w:p w:rsidR="00E62751" w:rsidRDefault="00E62751" w:rsidP="00683E00">
      <w:pPr>
        <w:pStyle w:val="Heading3"/>
      </w:pPr>
    </w:p>
    <w:p w:rsidR="00E62751" w:rsidRDefault="00E62751" w:rsidP="00683E00">
      <w:pPr>
        <w:pStyle w:val="Heading3"/>
      </w:pPr>
    </w:p>
    <w:p w:rsidR="00E62751" w:rsidRDefault="00E62751" w:rsidP="00E62751">
      <w:pPr>
        <w:pStyle w:val="BodyText"/>
      </w:pPr>
    </w:p>
    <w:p w:rsidR="004E0802" w:rsidRDefault="004E0802" w:rsidP="00E62751">
      <w:pPr>
        <w:pStyle w:val="BodyText"/>
      </w:pPr>
    </w:p>
    <w:p w:rsidR="004E0802" w:rsidRDefault="004E0802" w:rsidP="00E62751">
      <w:pPr>
        <w:pStyle w:val="BodyText"/>
      </w:pPr>
    </w:p>
    <w:p w:rsidR="004E0802" w:rsidRPr="00E62751" w:rsidRDefault="004E0802" w:rsidP="00E62751">
      <w:pPr>
        <w:pStyle w:val="BodyText"/>
      </w:pPr>
    </w:p>
    <w:bookmarkEnd w:id="49"/>
    <w:p w:rsidR="00683E00" w:rsidRDefault="00E308CB" w:rsidP="00683E00">
      <w:pPr>
        <w:pStyle w:val="Heading3"/>
      </w:pPr>
      <w:r w:rsidRPr="00E308CB">
        <w:lastRenderedPageBreak/>
        <w:t>Future Needs</w:t>
      </w:r>
    </w:p>
    <w:p w:rsidR="00683E00" w:rsidRDefault="00743AFD" w:rsidP="00683E00">
      <w:pPr>
        <w:pStyle w:val="BodyText"/>
      </w:pPr>
      <w:r>
        <w:t>The</w:t>
      </w:r>
      <w:r w:rsidR="00AA7EBE">
        <w:t xml:space="preserve"> forecast of future needs</w:t>
      </w:r>
      <w:r w:rsidR="00683E00">
        <w:t xml:space="preserve"> </w:t>
      </w:r>
      <w:r w:rsidR="008D0E94">
        <w:t xml:space="preserve">shows whether a school district’s existing capacity will be able to accommodate projected </w:t>
      </w:r>
      <w:r w:rsidR="00131E48">
        <w:t xml:space="preserve">student </w:t>
      </w:r>
      <w:r w:rsidR="008D0E94">
        <w:t>enrollment increases over the 20-year planning period, or whether the</w:t>
      </w:r>
      <w:r>
        <w:t xml:space="preserve"> districts will need </w:t>
      </w:r>
      <w:r w:rsidR="008D0E94">
        <w:t>plans for additional school facilities to meet future needs.  Several school districts have developed 20-year student enrollment projections in association with their capital facili</w:t>
      </w:r>
      <w:r>
        <w:t xml:space="preserve">ty plans (CFPs).  School district </w:t>
      </w:r>
      <w:r w:rsidR="00C40527">
        <w:t xml:space="preserve">projections are used in the </w:t>
      </w:r>
      <w:r>
        <w:t>analysis, when</w:t>
      </w:r>
      <w:r w:rsidR="008D0E94">
        <w:t xml:space="preserve"> available.  When 20-year projections are not available from the sc</w:t>
      </w:r>
      <w:r>
        <w:t>hool district CFPs, consultant projections developed for</w:t>
      </w:r>
      <w:r w:rsidR="008D0E94">
        <w:t xml:space="preserve"> the </w:t>
      </w:r>
      <w:r w:rsidR="008D0E94" w:rsidRPr="008D0E94">
        <w:rPr>
          <w:i/>
        </w:rPr>
        <w:t>Final EIS Whatcom County 2016 Comprehensive Plan and Development Regulations Update and Urban Growth Areas Review</w:t>
      </w:r>
      <w:r>
        <w:t xml:space="preserve"> (November 2015) are</w:t>
      </w:r>
      <w:r w:rsidR="008D0E94">
        <w:t xml:space="preserve"> utilized.</w:t>
      </w:r>
      <w:r w:rsidR="002541B1">
        <w:t xml:space="preserve"> </w:t>
      </w:r>
    </w:p>
    <w:p w:rsidR="00683E00" w:rsidRDefault="00743AFD" w:rsidP="00683E00">
      <w:pPr>
        <w:pStyle w:val="BodyText"/>
      </w:pPr>
      <w:r>
        <w:t>Future e</w:t>
      </w:r>
      <w:r w:rsidR="00683E00">
        <w:t xml:space="preserve">nrollment </w:t>
      </w:r>
      <w:r>
        <w:t xml:space="preserve">is </w:t>
      </w:r>
      <w:r w:rsidR="00683E00">
        <w:t xml:space="preserve">affected by demographic </w:t>
      </w:r>
      <w:r w:rsidR="00AA7EBE">
        <w:t xml:space="preserve">trends (such as an </w:t>
      </w:r>
      <w:r w:rsidR="00683E00">
        <w:t>aging popul</w:t>
      </w:r>
      <w:r w:rsidR="00A64868">
        <w:t>ation</w:t>
      </w:r>
      <w:r>
        <w:t xml:space="preserve">) and </w:t>
      </w:r>
      <w:r w:rsidR="00683E00">
        <w:t>trends in alternative school metho</w:t>
      </w:r>
      <w:r>
        <w:t xml:space="preserve">ds including </w:t>
      </w:r>
      <w:r w:rsidR="00683E00">
        <w:t xml:space="preserve">home schooling, Running Start program, and online schooling. </w:t>
      </w:r>
      <w:r>
        <w:t>Therefore, school districts routinely monitor enrollment growth trends and may adjust their plans accordingly.</w:t>
      </w:r>
      <w:r w:rsidR="007B3C57">
        <w:t xml:space="preserve"> </w:t>
      </w:r>
      <w:r w:rsidR="008D0E94">
        <w:t xml:space="preserve">The </w:t>
      </w:r>
      <w:r w:rsidR="002541B1">
        <w:t>t</w:t>
      </w:r>
      <w:r w:rsidR="008D0E94">
        <w:t>able</w:t>
      </w:r>
      <w:r w:rsidR="00131E48">
        <w:t xml:space="preserve"> below shows whether existing classroom capacity will be adequate to serve the projected student enrollment</w:t>
      </w:r>
      <w:r w:rsidR="008D0E94">
        <w:t xml:space="preserve"> in 2036</w:t>
      </w:r>
      <w:r w:rsidR="00683E00">
        <w:t>. As can be seen by this analysis, deficits a</w:t>
      </w:r>
      <w:r>
        <w:t xml:space="preserve">re experienced in </w:t>
      </w:r>
      <w:r w:rsidR="00393D69">
        <w:t>four school districts by 2036</w:t>
      </w:r>
      <w:r w:rsidR="00683E00">
        <w:t>. School di</w:t>
      </w:r>
      <w:r w:rsidR="002E323B">
        <w:t>stricts can address future deficits</w:t>
      </w:r>
      <w:r w:rsidR="00683E00">
        <w:t xml:space="preserve"> </w:t>
      </w:r>
      <w:r>
        <w:t xml:space="preserve">by constructing additional classrooms, installing portables, </w:t>
      </w:r>
      <w:r w:rsidR="002E323B">
        <w:t>and/</w:t>
      </w:r>
      <w:r>
        <w:t xml:space="preserve">or </w:t>
      </w:r>
      <w:r w:rsidR="00683E00">
        <w:t>increasing the numbe</w:t>
      </w:r>
      <w:r w:rsidR="002E323B">
        <w:t xml:space="preserve">r of students accommodated in existing </w:t>
      </w:r>
      <w:r w:rsidR="00683E00">
        <w:t>cla</w:t>
      </w:r>
      <w:r w:rsidR="00393D69">
        <w:t>ssroom</w:t>
      </w:r>
      <w:r w:rsidR="002E323B">
        <w:t>s</w:t>
      </w:r>
      <w:r w:rsidR="00683E00">
        <w:t>.</w:t>
      </w:r>
    </w:p>
    <w:p w:rsidR="00683E00" w:rsidRDefault="0016410F" w:rsidP="00683E00">
      <w:pPr>
        <w:pStyle w:val="Caption"/>
      </w:pPr>
      <w:bookmarkStart w:id="50" w:name="_Toc245621962"/>
      <w:r>
        <w:t>Table 13.8</w:t>
      </w:r>
      <w:r>
        <w:tab/>
      </w:r>
      <w:r w:rsidR="00683E00">
        <w:t>Wha</w:t>
      </w:r>
      <w:r w:rsidR="00971A17">
        <w:t xml:space="preserve">tcom County School District </w:t>
      </w:r>
      <w:r w:rsidR="008C5FB3">
        <w:t xml:space="preserve">– Forecast of Future Needs </w:t>
      </w:r>
      <w:r w:rsidR="00971A17">
        <w:t>2036</w:t>
      </w:r>
      <w:bookmarkEnd w:id="50"/>
    </w:p>
    <w:tbl>
      <w:tblPr>
        <w:tblW w:w="0" w:type="auto"/>
        <w:tblBorders>
          <w:top w:val="single" w:sz="4" w:space="0" w:color="1F497D"/>
          <w:bottom w:val="single" w:sz="4" w:space="0" w:color="1F497D"/>
          <w:insideH w:val="single" w:sz="4" w:space="0" w:color="1F497D"/>
        </w:tblBorders>
        <w:tblLook w:val="04A0" w:firstRow="1" w:lastRow="0" w:firstColumn="1" w:lastColumn="0" w:noHBand="0" w:noVBand="1"/>
      </w:tblPr>
      <w:tblGrid>
        <w:gridCol w:w="1643"/>
        <w:gridCol w:w="2116"/>
        <w:gridCol w:w="2543"/>
        <w:gridCol w:w="2727"/>
      </w:tblGrid>
      <w:tr w:rsidR="008D0E94" w:rsidTr="008D0E94">
        <w:trPr>
          <w:tblHeader/>
        </w:trPr>
        <w:tc>
          <w:tcPr>
            <w:tcW w:w="1643" w:type="dxa"/>
          </w:tcPr>
          <w:p w:rsidR="008D0E94" w:rsidRDefault="008D0E94" w:rsidP="005718C9">
            <w:pPr>
              <w:pStyle w:val="TableHeader"/>
            </w:pPr>
            <w:r>
              <w:t>School District</w:t>
            </w:r>
          </w:p>
        </w:tc>
        <w:tc>
          <w:tcPr>
            <w:tcW w:w="2118" w:type="dxa"/>
          </w:tcPr>
          <w:p w:rsidR="00971A17" w:rsidRPr="00971A17" w:rsidRDefault="00971A17" w:rsidP="00971A17">
            <w:pPr>
              <w:pStyle w:val="TableHeader"/>
            </w:pPr>
            <w:r w:rsidRPr="00971A17">
              <w:t>Existing</w:t>
            </w:r>
            <w:r w:rsidR="00743AFD">
              <w:t xml:space="preserve"> Student</w:t>
            </w:r>
          </w:p>
          <w:p w:rsidR="008D0E94" w:rsidRDefault="00971A17" w:rsidP="00971A17">
            <w:pPr>
              <w:pStyle w:val="TableHeader"/>
            </w:pPr>
            <w:r w:rsidRPr="00971A17">
              <w:t xml:space="preserve">Capacity </w:t>
            </w:r>
          </w:p>
        </w:tc>
        <w:tc>
          <w:tcPr>
            <w:tcW w:w="2545" w:type="dxa"/>
          </w:tcPr>
          <w:p w:rsidR="00971A17" w:rsidRPr="00971A17" w:rsidRDefault="00971A17" w:rsidP="00971A17">
            <w:pPr>
              <w:pStyle w:val="TableHeader"/>
            </w:pPr>
            <w:r w:rsidRPr="00971A17">
              <w:t xml:space="preserve">2036 Enrollment </w:t>
            </w:r>
          </w:p>
          <w:p w:rsidR="008D0E94" w:rsidRDefault="00393D69" w:rsidP="00393D69">
            <w:pPr>
              <w:pStyle w:val="TableHeader"/>
            </w:pPr>
            <w:r>
              <w:t>Projection</w:t>
            </w:r>
          </w:p>
        </w:tc>
        <w:tc>
          <w:tcPr>
            <w:tcW w:w="2730" w:type="dxa"/>
          </w:tcPr>
          <w:p w:rsidR="00743AFD" w:rsidRDefault="008D0E94" w:rsidP="00743AFD">
            <w:pPr>
              <w:pStyle w:val="TableHeader"/>
            </w:pPr>
            <w:r>
              <w:t xml:space="preserve">2036 School </w:t>
            </w:r>
            <w:r w:rsidR="00743AFD">
              <w:t xml:space="preserve">Surplus </w:t>
            </w:r>
          </w:p>
          <w:p w:rsidR="008D0E94" w:rsidRDefault="00743AFD" w:rsidP="00743AFD">
            <w:pPr>
              <w:pStyle w:val="TableHeader"/>
            </w:pPr>
            <w:r>
              <w:t>(Deficit) Capacity</w:t>
            </w:r>
          </w:p>
        </w:tc>
      </w:tr>
      <w:tr w:rsidR="008D0E94" w:rsidTr="008D0E94">
        <w:tc>
          <w:tcPr>
            <w:tcW w:w="1643" w:type="dxa"/>
          </w:tcPr>
          <w:p w:rsidR="008D0E94" w:rsidRDefault="008D0E94" w:rsidP="00743AFD">
            <w:pPr>
              <w:pStyle w:val="TableText"/>
            </w:pPr>
            <w:r>
              <w:t xml:space="preserve">Bellingham </w:t>
            </w:r>
          </w:p>
        </w:tc>
        <w:tc>
          <w:tcPr>
            <w:tcW w:w="2118" w:type="dxa"/>
            <w:vAlign w:val="bottom"/>
          </w:tcPr>
          <w:p w:rsidR="008D0E94" w:rsidRDefault="002D1BF2" w:rsidP="005718C9">
            <w:pPr>
              <w:pStyle w:val="TableText"/>
              <w:jc w:val="center"/>
            </w:pPr>
            <w:r>
              <w:t>10,865</w:t>
            </w:r>
          </w:p>
        </w:tc>
        <w:tc>
          <w:tcPr>
            <w:tcW w:w="2545" w:type="dxa"/>
          </w:tcPr>
          <w:p w:rsidR="008D0E94" w:rsidRDefault="00E00630" w:rsidP="005718C9">
            <w:pPr>
              <w:pStyle w:val="TableText"/>
              <w:jc w:val="center"/>
            </w:pPr>
            <w:r>
              <w:t>12,331</w:t>
            </w:r>
            <w:r w:rsidR="00743AFD" w:rsidRPr="00743AFD">
              <w:rPr>
                <w:vertAlign w:val="superscript"/>
              </w:rPr>
              <w:t>1</w:t>
            </w:r>
          </w:p>
        </w:tc>
        <w:tc>
          <w:tcPr>
            <w:tcW w:w="2730" w:type="dxa"/>
          </w:tcPr>
          <w:p w:rsidR="008D0E94" w:rsidRDefault="00E00630" w:rsidP="005718C9">
            <w:pPr>
              <w:pStyle w:val="TableText"/>
              <w:jc w:val="center"/>
            </w:pPr>
            <w:r>
              <w:t>(1,466</w:t>
            </w:r>
            <w:r w:rsidR="00DF2547">
              <w:t>)</w:t>
            </w:r>
          </w:p>
        </w:tc>
      </w:tr>
      <w:tr w:rsidR="008D0E94" w:rsidTr="008D0E94">
        <w:tc>
          <w:tcPr>
            <w:tcW w:w="1643" w:type="dxa"/>
          </w:tcPr>
          <w:p w:rsidR="008D0E94" w:rsidRDefault="008D0E94" w:rsidP="005718C9">
            <w:pPr>
              <w:pStyle w:val="TableText"/>
            </w:pPr>
            <w:r>
              <w:t>Blaine</w:t>
            </w:r>
          </w:p>
        </w:tc>
        <w:tc>
          <w:tcPr>
            <w:tcW w:w="2118" w:type="dxa"/>
            <w:vAlign w:val="bottom"/>
          </w:tcPr>
          <w:p w:rsidR="008D0E94" w:rsidRDefault="00971A17" w:rsidP="005718C9">
            <w:pPr>
              <w:pStyle w:val="TableText"/>
              <w:jc w:val="center"/>
            </w:pPr>
            <w:r>
              <w:t>2,400</w:t>
            </w:r>
          </w:p>
        </w:tc>
        <w:tc>
          <w:tcPr>
            <w:tcW w:w="2545" w:type="dxa"/>
          </w:tcPr>
          <w:p w:rsidR="008D0E94" w:rsidRDefault="00971A17" w:rsidP="005718C9">
            <w:pPr>
              <w:pStyle w:val="TableText"/>
              <w:jc w:val="center"/>
            </w:pPr>
            <w:r>
              <w:t>2,456</w:t>
            </w:r>
            <w:r w:rsidR="00743AFD" w:rsidRPr="00743AFD">
              <w:rPr>
                <w:vertAlign w:val="superscript"/>
              </w:rPr>
              <w:t>2</w:t>
            </w:r>
          </w:p>
        </w:tc>
        <w:tc>
          <w:tcPr>
            <w:tcW w:w="2730" w:type="dxa"/>
          </w:tcPr>
          <w:p w:rsidR="008D0E94" w:rsidRPr="004E2466" w:rsidRDefault="00971A17" w:rsidP="005718C9">
            <w:pPr>
              <w:pStyle w:val="TableText"/>
              <w:jc w:val="center"/>
            </w:pPr>
            <w:r>
              <w:t>(56</w:t>
            </w:r>
            <w:r w:rsidR="008D0E94">
              <w:t>)</w:t>
            </w:r>
          </w:p>
        </w:tc>
      </w:tr>
      <w:tr w:rsidR="008D0E94" w:rsidTr="008D0E94">
        <w:tc>
          <w:tcPr>
            <w:tcW w:w="1643" w:type="dxa"/>
          </w:tcPr>
          <w:p w:rsidR="008D0E94" w:rsidRDefault="008D0E94" w:rsidP="005718C9">
            <w:pPr>
              <w:pStyle w:val="TableText"/>
            </w:pPr>
            <w:r>
              <w:t xml:space="preserve">Ferndale </w:t>
            </w:r>
          </w:p>
        </w:tc>
        <w:tc>
          <w:tcPr>
            <w:tcW w:w="2118" w:type="dxa"/>
            <w:vAlign w:val="bottom"/>
          </w:tcPr>
          <w:p w:rsidR="008D0E94" w:rsidRDefault="001323A1" w:rsidP="005718C9">
            <w:pPr>
              <w:pStyle w:val="TableText"/>
              <w:jc w:val="center"/>
            </w:pPr>
            <w:r>
              <w:t>6,2</w:t>
            </w:r>
            <w:r w:rsidR="002D1BF2">
              <w:t>00</w:t>
            </w:r>
          </w:p>
        </w:tc>
        <w:tc>
          <w:tcPr>
            <w:tcW w:w="2545" w:type="dxa"/>
          </w:tcPr>
          <w:p w:rsidR="008D0E94" w:rsidRDefault="00DA774E" w:rsidP="005718C9">
            <w:pPr>
              <w:pStyle w:val="TableText"/>
              <w:jc w:val="center"/>
            </w:pPr>
            <w:r>
              <w:t>6,521</w:t>
            </w:r>
            <w:r w:rsidR="00743AFD" w:rsidRPr="00743AFD">
              <w:rPr>
                <w:vertAlign w:val="superscript"/>
              </w:rPr>
              <w:t>3</w:t>
            </w:r>
          </w:p>
        </w:tc>
        <w:tc>
          <w:tcPr>
            <w:tcW w:w="2730" w:type="dxa"/>
          </w:tcPr>
          <w:p w:rsidR="008D0E94" w:rsidRDefault="001323A1" w:rsidP="005718C9">
            <w:pPr>
              <w:pStyle w:val="TableText"/>
              <w:jc w:val="center"/>
            </w:pPr>
            <w:r>
              <w:t>(3</w:t>
            </w:r>
            <w:r w:rsidR="00DA774E">
              <w:t>21)</w:t>
            </w:r>
          </w:p>
        </w:tc>
      </w:tr>
      <w:tr w:rsidR="008D0E94" w:rsidTr="008D0E94">
        <w:tc>
          <w:tcPr>
            <w:tcW w:w="1643" w:type="dxa"/>
          </w:tcPr>
          <w:p w:rsidR="008D0E94" w:rsidRPr="00D67204" w:rsidRDefault="008D0E94" w:rsidP="00743AFD">
            <w:pPr>
              <w:pStyle w:val="TableText"/>
            </w:pPr>
            <w:r w:rsidRPr="00D67204">
              <w:t xml:space="preserve">Lynden </w:t>
            </w:r>
          </w:p>
        </w:tc>
        <w:tc>
          <w:tcPr>
            <w:tcW w:w="2118" w:type="dxa"/>
            <w:vAlign w:val="bottom"/>
          </w:tcPr>
          <w:p w:rsidR="008D0E94" w:rsidRPr="00D67204" w:rsidRDefault="001E0AE5" w:rsidP="005718C9">
            <w:pPr>
              <w:pStyle w:val="TableText"/>
              <w:jc w:val="center"/>
            </w:pPr>
            <w:r>
              <w:t>2,650</w:t>
            </w:r>
          </w:p>
        </w:tc>
        <w:tc>
          <w:tcPr>
            <w:tcW w:w="2545" w:type="dxa"/>
          </w:tcPr>
          <w:p w:rsidR="008D0E94" w:rsidRPr="00D67204" w:rsidRDefault="001E0AE5" w:rsidP="005718C9">
            <w:pPr>
              <w:pStyle w:val="TableText"/>
              <w:jc w:val="center"/>
            </w:pPr>
            <w:r>
              <w:t>3,432</w:t>
            </w:r>
            <w:r w:rsidR="00743AFD" w:rsidRPr="00743AFD">
              <w:rPr>
                <w:vertAlign w:val="superscript"/>
              </w:rPr>
              <w:t>4</w:t>
            </w:r>
          </w:p>
        </w:tc>
        <w:tc>
          <w:tcPr>
            <w:tcW w:w="2730" w:type="dxa"/>
          </w:tcPr>
          <w:p w:rsidR="008D0E94" w:rsidRPr="00D67204" w:rsidRDefault="00743AFD" w:rsidP="005718C9">
            <w:pPr>
              <w:pStyle w:val="TableText"/>
              <w:jc w:val="center"/>
            </w:pPr>
            <w:r>
              <w:t>(782</w:t>
            </w:r>
            <w:r w:rsidR="001E0AE5">
              <w:t>)</w:t>
            </w:r>
          </w:p>
        </w:tc>
      </w:tr>
      <w:tr w:rsidR="008D0E94" w:rsidTr="008D0E94">
        <w:tc>
          <w:tcPr>
            <w:tcW w:w="1643" w:type="dxa"/>
          </w:tcPr>
          <w:p w:rsidR="008D0E94" w:rsidRDefault="008D0E94" w:rsidP="00743AFD">
            <w:pPr>
              <w:pStyle w:val="TableText"/>
            </w:pPr>
            <w:r>
              <w:t xml:space="preserve">Meridian </w:t>
            </w:r>
          </w:p>
        </w:tc>
        <w:tc>
          <w:tcPr>
            <w:tcW w:w="2118" w:type="dxa"/>
            <w:vAlign w:val="bottom"/>
          </w:tcPr>
          <w:p w:rsidR="008D0E94" w:rsidRDefault="00BD326C" w:rsidP="005718C9">
            <w:pPr>
              <w:pStyle w:val="TableText"/>
              <w:jc w:val="center"/>
            </w:pPr>
            <w:r>
              <w:t>2,252</w:t>
            </w:r>
          </w:p>
        </w:tc>
        <w:tc>
          <w:tcPr>
            <w:tcW w:w="2545" w:type="dxa"/>
          </w:tcPr>
          <w:p w:rsidR="008D0E94" w:rsidRDefault="00DA774E" w:rsidP="005718C9">
            <w:pPr>
              <w:pStyle w:val="TableText"/>
              <w:jc w:val="center"/>
            </w:pPr>
            <w:r>
              <w:t>1,529</w:t>
            </w:r>
            <w:r w:rsidR="00743AFD" w:rsidRPr="00743AFD">
              <w:rPr>
                <w:vertAlign w:val="superscript"/>
              </w:rPr>
              <w:t>5</w:t>
            </w:r>
          </w:p>
        </w:tc>
        <w:tc>
          <w:tcPr>
            <w:tcW w:w="2730" w:type="dxa"/>
          </w:tcPr>
          <w:p w:rsidR="008D0E94" w:rsidRDefault="00BD326C" w:rsidP="005718C9">
            <w:pPr>
              <w:pStyle w:val="TableText"/>
              <w:jc w:val="center"/>
            </w:pPr>
            <w:r>
              <w:t>723</w:t>
            </w:r>
          </w:p>
        </w:tc>
      </w:tr>
      <w:tr w:rsidR="008D0E94" w:rsidTr="008D0E94">
        <w:tc>
          <w:tcPr>
            <w:tcW w:w="1643" w:type="dxa"/>
          </w:tcPr>
          <w:p w:rsidR="008D0E94" w:rsidRDefault="008D0E94" w:rsidP="00743AFD">
            <w:pPr>
              <w:pStyle w:val="TableText"/>
            </w:pPr>
            <w:r>
              <w:t>Mount Baker</w:t>
            </w:r>
          </w:p>
        </w:tc>
        <w:tc>
          <w:tcPr>
            <w:tcW w:w="2118" w:type="dxa"/>
            <w:vAlign w:val="bottom"/>
          </w:tcPr>
          <w:p w:rsidR="008D0E94" w:rsidRDefault="00E33A9D" w:rsidP="005718C9">
            <w:pPr>
              <w:pStyle w:val="TableText"/>
              <w:jc w:val="center"/>
            </w:pPr>
            <w:r>
              <w:t>2,627</w:t>
            </w:r>
          </w:p>
        </w:tc>
        <w:tc>
          <w:tcPr>
            <w:tcW w:w="2545" w:type="dxa"/>
          </w:tcPr>
          <w:p w:rsidR="008D0E94" w:rsidRDefault="00E33A9D" w:rsidP="005718C9">
            <w:pPr>
              <w:pStyle w:val="TableText"/>
              <w:jc w:val="center"/>
            </w:pPr>
            <w:r>
              <w:t>2,128</w:t>
            </w:r>
            <w:r w:rsidR="00743AFD" w:rsidRPr="00743AFD">
              <w:rPr>
                <w:vertAlign w:val="superscript"/>
              </w:rPr>
              <w:t>6</w:t>
            </w:r>
          </w:p>
        </w:tc>
        <w:tc>
          <w:tcPr>
            <w:tcW w:w="2730" w:type="dxa"/>
          </w:tcPr>
          <w:p w:rsidR="008D0E94" w:rsidRDefault="00E33A9D" w:rsidP="005718C9">
            <w:pPr>
              <w:pStyle w:val="TableText"/>
              <w:jc w:val="center"/>
            </w:pPr>
            <w:r>
              <w:t>499</w:t>
            </w:r>
          </w:p>
        </w:tc>
      </w:tr>
      <w:tr w:rsidR="008D0E94" w:rsidTr="008D0E94">
        <w:tc>
          <w:tcPr>
            <w:tcW w:w="1643" w:type="dxa"/>
          </w:tcPr>
          <w:p w:rsidR="008D0E94" w:rsidRDefault="008D0E94" w:rsidP="00743AFD">
            <w:pPr>
              <w:pStyle w:val="TableText"/>
            </w:pPr>
            <w:r>
              <w:t>Nooksack Valley</w:t>
            </w:r>
          </w:p>
        </w:tc>
        <w:tc>
          <w:tcPr>
            <w:tcW w:w="2118" w:type="dxa"/>
            <w:vAlign w:val="bottom"/>
          </w:tcPr>
          <w:p w:rsidR="008D0E94" w:rsidRDefault="004E0802" w:rsidP="005718C9">
            <w:pPr>
              <w:pStyle w:val="TableText"/>
              <w:jc w:val="center"/>
            </w:pPr>
            <w:r>
              <w:t>3,150</w:t>
            </w:r>
          </w:p>
        </w:tc>
        <w:tc>
          <w:tcPr>
            <w:tcW w:w="2545" w:type="dxa"/>
          </w:tcPr>
          <w:p w:rsidR="008D0E94" w:rsidRDefault="00DA774E" w:rsidP="005718C9">
            <w:pPr>
              <w:pStyle w:val="TableText"/>
              <w:jc w:val="center"/>
            </w:pPr>
            <w:r>
              <w:t>2,012</w:t>
            </w:r>
            <w:r w:rsidR="00743AFD" w:rsidRPr="00743AFD">
              <w:rPr>
                <w:vertAlign w:val="superscript"/>
              </w:rPr>
              <w:t>7</w:t>
            </w:r>
          </w:p>
        </w:tc>
        <w:tc>
          <w:tcPr>
            <w:tcW w:w="2730" w:type="dxa"/>
          </w:tcPr>
          <w:p w:rsidR="008D0E94" w:rsidRDefault="004E0802" w:rsidP="005718C9">
            <w:pPr>
              <w:pStyle w:val="TableText"/>
              <w:jc w:val="center"/>
            </w:pPr>
            <w:r>
              <w:t>1,138</w:t>
            </w:r>
          </w:p>
        </w:tc>
      </w:tr>
    </w:tbl>
    <w:p w:rsidR="00D0047C" w:rsidRDefault="00E00630" w:rsidP="00D0047C">
      <w:pPr>
        <w:pStyle w:val="TableNotesLast"/>
        <w:numPr>
          <w:ilvl w:val="0"/>
          <w:numId w:val="40"/>
        </w:numPr>
        <w:spacing w:after="0"/>
      </w:pPr>
      <w:r>
        <w:t xml:space="preserve">The </w:t>
      </w:r>
      <w:r w:rsidRPr="00AA7EBE">
        <w:rPr>
          <w:i/>
        </w:rPr>
        <w:t>Bellingham School District No. 501 Capital Facilities Plan 2015-2021</w:t>
      </w:r>
      <w:r>
        <w:t xml:space="preserve"> (August 2015) shows enrollment in the 2034-35 school year at 12,141 students (Table 1-B).  The County has extrapolated this enrollment projection to the year 2036.</w:t>
      </w:r>
    </w:p>
    <w:p w:rsidR="00D0047C" w:rsidRDefault="00D0047C" w:rsidP="00D0047C">
      <w:pPr>
        <w:pStyle w:val="TableNotesLast"/>
        <w:numPr>
          <w:ilvl w:val="0"/>
          <w:numId w:val="40"/>
        </w:numPr>
        <w:spacing w:after="0"/>
      </w:pPr>
      <w:r w:rsidRPr="00AA7EBE">
        <w:rPr>
          <w:i/>
        </w:rPr>
        <w:t>Blaine School District Capital Facilities Plan</w:t>
      </w:r>
      <w:r>
        <w:t xml:space="preserve"> (</w:t>
      </w:r>
      <w:r w:rsidRPr="00D0047C">
        <w:t xml:space="preserve">December 2015, </w:t>
      </w:r>
      <w:r w:rsidR="00743AFD">
        <w:t>p. 10</w:t>
      </w:r>
      <w:r>
        <w:t>).</w:t>
      </w:r>
    </w:p>
    <w:p w:rsidR="00D0047C" w:rsidRDefault="00743AFD" w:rsidP="00D0047C">
      <w:pPr>
        <w:pStyle w:val="TableNotesLast"/>
        <w:numPr>
          <w:ilvl w:val="0"/>
          <w:numId w:val="40"/>
        </w:numPr>
        <w:spacing w:after="0"/>
      </w:pPr>
      <w:r>
        <w:t xml:space="preserve">Projected </w:t>
      </w:r>
      <w:r w:rsidR="00E014EB" w:rsidRPr="00E014EB">
        <w:t xml:space="preserve">enrollment is from the background information </w:t>
      </w:r>
      <w:r w:rsidR="00A67B87">
        <w:t xml:space="preserve">prepared </w:t>
      </w:r>
      <w:r w:rsidR="00E014EB" w:rsidRPr="00E014EB">
        <w:t>for</w:t>
      </w:r>
      <w:r w:rsidR="00A67B87">
        <w:t xml:space="preserve"> the</w:t>
      </w:r>
      <w:r w:rsidR="00E014EB" w:rsidRPr="00E014EB">
        <w:t xml:space="preserve"> </w:t>
      </w:r>
      <w:r w:rsidR="00E014EB" w:rsidRPr="00E014EB">
        <w:rPr>
          <w:i/>
        </w:rPr>
        <w:t>Final EIS Whatcom County 2016 Comprehensive Plan and Development Regulations Update and Urban Growth Areas Review</w:t>
      </w:r>
      <w:r w:rsidR="00E014EB" w:rsidRPr="00E014EB">
        <w:t xml:space="preserve"> (November 2015), contained in an e-mail from BERK Consulting (March 1, 2016).</w:t>
      </w:r>
    </w:p>
    <w:p w:rsidR="00E014EB" w:rsidRDefault="00E014EB" w:rsidP="00E014EB">
      <w:pPr>
        <w:pStyle w:val="TableNotesLast"/>
        <w:numPr>
          <w:ilvl w:val="0"/>
          <w:numId w:val="40"/>
        </w:numPr>
        <w:spacing w:after="0"/>
      </w:pPr>
      <w:r w:rsidRPr="00AA7EBE">
        <w:rPr>
          <w:i/>
        </w:rPr>
        <w:t>Lynden School District Capital Facilities Plan</w:t>
      </w:r>
      <w:r>
        <w:t xml:space="preserve"> (February 2016</w:t>
      </w:r>
      <w:r w:rsidRPr="00D0047C">
        <w:t xml:space="preserve">, </w:t>
      </w:r>
      <w:r w:rsidR="00743AFD">
        <w:t>p. 9</w:t>
      </w:r>
      <w:r>
        <w:t>).</w:t>
      </w:r>
    </w:p>
    <w:p w:rsidR="00E014EB" w:rsidRDefault="00743AFD" w:rsidP="00E014EB">
      <w:pPr>
        <w:pStyle w:val="TableNotesLast"/>
        <w:numPr>
          <w:ilvl w:val="0"/>
          <w:numId w:val="40"/>
        </w:numPr>
        <w:spacing w:after="0"/>
      </w:pPr>
      <w:r>
        <w:t xml:space="preserve">Projected </w:t>
      </w:r>
      <w:r w:rsidR="00E014EB" w:rsidRPr="00E014EB">
        <w:t xml:space="preserve">enrollment is from the background information </w:t>
      </w:r>
      <w:r w:rsidR="00A67B87">
        <w:t xml:space="preserve">prepared </w:t>
      </w:r>
      <w:r w:rsidR="00E014EB" w:rsidRPr="00E014EB">
        <w:t>for</w:t>
      </w:r>
      <w:r w:rsidR="00A67B87">
        <w:t xml:space="preserve"> the</w:t>
      </w:r>
      <w:r w:rsidR="00E014EB" w:rsidRPr="00E014EB">
        <w:t xml:space="preserve"> </w:t>
      </w:r>
      <w:r w:rsidR="00E014EB" w:rsidRPr="00E014EB">
        <w:rPr>
          <w:i/>
        </w:rPr>
        <w:t>Final EIS Whatcom County 2016 Comprehensive Plan and Development Regulations Update and Urban Growth Areas Review</w:t>
      </w:r>
      <w:r w:rsidR="00E014EB" w:rsidRPr="00E014EB">
        <w:t xml:space="preserve"> (November 2015), contained in an e-mail from BERK Consulting (March 1, 2016).</w:t>
      </w:r>
      <w:r w:rsidR="00567AD9">
        <w:t xml:space="preserve"> The projected enrollment does not include students in the Meridian Parent Partnership Program</w:t>
      </w:r>
      <w:r w:rsidR="007B3C57">
        <w:t xml:space="preserve"> (MP3)</w:t>
      </w:r>
      <w:r w:rsidR="00567AD9">
        <w:t>.</w:t>
      </w:r>
      <w:r w:rsidR="007B3C57" w:rsidRPr="007B3C57">
        <w:rPr>
          <w:rFonts w:ascii="Times New Roman" w:hAnsi="Times New Roman" w:cs="Times New Roman"/>
          <w:sz w:val="22"/>
          <w:szCs w:val="24"/>
        </w:rPr>
        <w:t xml:space="preserve"> </w:t>
      </w:r>
      <w:r w:rsidR="007B3C57" w:rsidRPr="007B3C57">
        <w:t>MP3 currently serves approximately 150 students on campus that live all over Whatcom County and another 130 students via on-line methods from around the state.</w:t>
      </w:r>
      <w:r w:rsidR="007B3C57">
        <w:t xml:space="preserve">  It is anticipated that MP3 enrollment will continue to increase throughout the 20-year planning period.</w:t>
      </w:r>
    </w:p>
    <w:p w:rsidR="00056FC7" w:rsidRDefault="00056FC7" w:rsidP="00056FC7">
      <w:pPr>
        <w:pStyle w:val="TableNotesLast"/>
        <w:numPr>
          <w:ilvl w:val="0"/>
          <w:numId w:val="40"/>
        </w:numPr>
        <w:spacing w:after="0"/>
      </w:pPr>
      <w:r w:rsidRPr="00AA7EBE">
        <w:rPr>
          <w:i/>
        </w:rPr>
        <w:t>Mount Baker School District Capital Facilities Plan</w:t>
      </w:r>
      <w:r>
        <w:t xml:space="preserve"> (May 2013</w:t>
      </w:r>
      <w:r w:rsidRPr="00D0047C">
        <w:t xml:space="preserve">, </w:t>
      </w:r>
      <w:r w:rsidR="00743AFD">
        <w:t>p. 11</w:t>
      </w:r>
      <w:r>
        <w:t>).</w:t>
      </w:r>
    </w:p>
    <w:p w:rsidR="004142F2" w:rsidRDefault="00B04D09" w:rsidP="004142F2">
      <w:pPr>
        <w:pStyle w:val="TableNotesLast"/>
        <w:numPr>
          <w:ilvl w:val="0"/>
          <w:numId w:val="40"/>
        </w:numPr>
        <w:spacing w:after="0"/>
      </w:pPr>
      <w:r>
        <w:t>Projected</w:t>
      </w:r>
      <w:r w:rsidR="004142F2" w:rsidRPr="00E014EB">
        <w:t xml:space="preserve"> enrollment is from the background information </w:t>
      </w:r>
      <w:r w:rsidR="00A67B87">
        <w:t xml:space="preserve">prepared </w:t>
      </w:r>
      <w:r w:rsidR="004142F2" w:rsidRPr="00E014EB">
        <w:t>for</w:t>
      </w:r>
      <w:r w:rsidR="00A67B87">
        <w:t xml:space="preserve"> the</w:t>
      </w:r>
      <w:r w:rsidR="004142F2" w:rsidRPr="00E014EB">
        <w:t xml:space="preserve"> </w:t>
      </w:r>
      <w:r w:rsidR="004142F2" w:rsidRPr="00E014EB">
        <w:rPr>
          <w:i/>
        </w:rPr>
        <w:t>Final EIS Whatcom County 2016 Comprehensive Plan and Development Regulations Update and Urban Growth Areas Review</w:t>
      </w:r>
      <w:r w:rsidR="004142F2" w:rsidRPr="00E014EB">
        <w:t xml:space="preserve"> (November 2015), contained in an e-mail from BERK Consulting (March 1, 2016).</w:t>
      </w:r>
    </w:p>
    <w:p w:rsidR="00683E00" w:rsidRDefault="00683E00" w:rsidP="00683E00">
      <w:pPr>
        <w:pStyle w:val="Heading3"/>
      </w:pPr>
      <w:bookmarkStart w:id="51" w:name="_Toc245621856"/>
      <w:r>
        <w:lastRenderedPageBreak/>
        <w:t>Capital Projects and Funding</w:t>
      </w:r>
      <w:bookmarkEnd w:id="51"/>
    </w:p>
    <w:p w:rsidR="00683E00" w:rsidRDefault="00137D40" w:rsidP="00683E00">
      <w:pPr>
        <w:pStyle w:val="BodyText"/>
      </w:pPr>
      <w:r>
        <w:t>Most school districts in Whatcom County hav</w:t>
      </w:r>
      <w:r w:rsidR="00AA7EBE">
        <w:t xml:space="preserve">e capital facility plans </w:t>
      </w:r>
      <w:r>
        <w:t xml:space="preserve">that inventory existing school facilities, project future enrollment levels, and identify capital projects needed to support student enrollment growth in their respective districts. </w:t>
      </w:r>
    </w:p>
    <w:p w:rsidR="00683E00" w:rsidRDefault="00683E00" w:rsidP="00683E00">
      <w:pPr>
        <w:pStyle w:val="Heading4"/>
        <w:spacing w:before="120"/>
      </w:pPr>
      <w:r>
        <w:t>Capital Project Funding</w:t>
      </w:r>
    </w:p>
    <w:p w:rsidR="00683E00" w:rsidRDefault="00683E00" w:rsidP="00683E00">
      <w:pPr>
        <w:pStyle w:val="BodyText"/>
      </w:pPr>
      <w:r>
        <w:t>School Districts in Washington State fund capital improvements with both State and local dollars. Local capital financing is usually achieved through two primary me</w:t>
      </w:r>
      <w:r w:rsidR="00B218F7">
        <w:t>chanisms. The first is the property tax</w:t>
      </w:r>
      <w:r>
        <w:t>, in which residents of the school district vote to finance a capital bond with an increase in</w:t>
      </w:r>
      <w:r w:rsidR="00131E48">
        <w:t xml:space="preserve"> property taxes. T</w:t>
      </w:r>
      <w:r>
        <w:t>he ann</w:t>
      </w:r>
      <w:r w:rsidR="00B218F7">
        <w:t xml:space="preserve">ual bond cost is spread </w:t>
      </w:r>
      <w:r>
        <w:t xml:space="preserve">over the life of the bond. Therefore, if property values increase over time the levy rate necessarily declines to generate the same annual revenue. </w:t>
      </w:r>
    </w:p>
    <w:p w:rsidR="00683E00" w:rsidRDefault="00683E00" w:rsidP="00683E00">
      <w:pPr>
        <w:pStyle w:val="BodyText"/>
      </w:pPr>
      <w:r>
        <w:t xml:space="preserve">The second </w:t>
      </w:r>
      <w:r w:rsidR="00137D40">
        <w:t xml:space="preserve">potential </w:t>
      </w:r>
      <w:r>
        <w:t>financing tool is a school impact fee, which is designed to recover costs from new development for the facility improv</w:t>
      </w:r>
      <w:r w:rsidR="00B218F7">
        <w:t>ements necessary to serve</w:t>
      </w:r>
      <w:r>
        <w:t xml:space="preserve"> development. This fee is usually charged to new residential development based on the </w:t>
      </w:r>
      <w:r w:rsidR="00B218F7">
        <w:t>number and type of units constructed.</w:t>
      </w:r>
    </w:p>
    <w:p w:rsidR="00683E00" w:rsidRDefault="00683E00" w:rsidP="00227520">
      <w:pPr>
        <w:pStyle w:val="ListBullet"/>
        <w:numPr>
          <w:ilvl w:val="0"/>
          <w:numId w:val="0"/>
        </w:numPr>
      </w:pPr>
    </w:p>
    <w:p w:rsidR="00683E00" w:rsidRDefault="00683E00" w:rsidP="00683E00">
      <w:pPr>
        <w:pStyle w:val="Heading5"/>
        <w:spacing w:before="120"/>
      </w:pPr>
      <w:r>
        <w:t>Bellingham School District</w:t>
      </w:r>
    </w:p>
    <w:p w:rsidR="00F26BE5" w:rsidRDefault="00AA7EBE" w:rsidP="00683E00">
      <w:pPr>
        <w:pStyle w:val="BodyText"/>
      </w:pPr>
      <w:r>
        <w:t>The future needs</w:t>
      </w:r>
      <w:r w:rsidR="00F26BE5">
        <w:t xml:space="preserve"> analysis above indicates that the Bellingham School District’s projected enrollment in 2036 will exceed the </w:t>
      </w:r>
      <w:r w:rsidR="00984A6F">
        <w:t>current school capacity by 1,466</w:t>
      </w:r>
      <w:r w:rsidR="00F26BE5">
        <w:t xml:space="preserve"> students. T</w:t>
      </w:r>
      <w:r w:rsidR="00683E00">
        <w:t xml:space="preserve">he </w:t>
      </w:r>
      <w:r w:rsidR="00683E00" w:rsidRPr="00AA7EBE">
        <w:rPr>
          <w:i/>
        </w:rPr>
        <w:t>Bel</w:t>
      </w:r>
      <w:r w:rsidR="00F26BE5" w:rsidRPr="00AA7EBE">
        <w:rPr>
          <w:i/>
        </w:rPr>
        <w:t>lingham School District No. 501</w:t>
      </w:r>
      <w:r w:rsidR="00683E00" w:rsidRPr="00AA7EBE">
        <w:rPr>
          <w:i/>
        </w:rPr>
        <w:t xml:space="preserve"> Capital Facilities Plan</w:t>
      </w:r>
      <w:r w:rsidR="00F26BE5" w:rsidRPr="00AA7EBE">
        <w:rPr>
          <w:i/>
        </w:rPr>
        <w:t xml:space="preserve"> 2015-2021</w:t>
      </w:r>
      <w:r w:rsidR="003B485B">
        <w:t xml:space="preserve"> (Aug. 2015)</w:t>
      </w:r>
      <w:r w:rsidR="00683E00">
        <w:t xml:space="preserve"> </w:t>
      </w:r>
      <w:r w:rsidR="00F26BE5">
        <w:t>indicates</w:t>
      </w:r>
      <w:r w:rsidR="004A6BA0">
        <w:t xml:space="preserve"> that </w:t>
      </w:r>
      <w:r w:rsidR="00381724">
        <w:t xml:space="preserve">permanent capacity </w:t>
      </w:r>
      <w:r w:rsidR="004A6BA0">
        <w:t xml:space="preserve">will increase </w:t>
      </w:r>
      <w:r w:rsidR="00F26BE5">
        <w:t>by 652 over the six-year p</w:t>
      </w:r>
      <w:r w:rsidR="00B218F7">
        <w:t>lanning period (</w:t>
      </w:r>
      <w:r w:rsidR="00F26BE5">
        <w:t>Table 3).</w:t>
      </w:r>
      <w:r w:rsidR="00381724">
        <w:t xml:space="preserve">  The projects that will increase permanent capacity are the Lowell Elementary School renovation/addition, the Happy Valley Elementary School replacement, a new Options High School, and the Sehome High School rep</w:t>
      </w:r>
      <w:r w:rsidR="00131E48">
        <w:t>lacement/additio</w:t>
      </w:r>
      <w:r w:rsidR="002E323B">
        <w:t>n (Table 3).  Installing</w:t>
      </w:r>
      <w:r w:rsidR="00381724">
        <w:t xml:space="preserve"> portables</w:t>
      </w:r>
      <w:r w:rsidR="002E323B">
        <w:t xml:space="preserve"> </w:t>
      </w:r>
      <w:r w:rsidR="00B218F7">
        <w:t>and</w:t>
      </w:r>
      <w:r w:rsidR="002E323B">
        <w:t xml:space="preserve"> purchasing additional property</w:t>
      </w:r>
      <w:r w:rsidR="00381724">
        <w:t xml:space="preserve"> are also planned</w:t>
      </w:r>
      <w:r w:rsidR="00B218F7">
        <w:t xml:space="preserve"> in the next six years</w:t>
      </w:r>
      <w:r w:rsidR="00381724">
        <w:t xml:space="preserve"> (Table 3).  These projects are being funded by </w:t>
      </w:r>
      <w:r w:rsidR="00925B88">
        <w:t>a $160 million bond measure passed by the voters in November 2013</w:t>
      </w:r>
      <w:r w:rsidR="00381724">
        <w:t>, state matching funds, and impact fees.</w:t>
      </w:r>
    </w:p>
    <w:p w:rsidR="00B218F7" w:rsidRDefault="00381724" w:rsidP="00683E00">
      <w:pPr>
        <w:pStyle w:val="BodyText"/>
      </w:pPr>
      <w:r>
        <w:t>While t</w:t>
      </w:r>
      <w:r w:rsidR="00F26BE5">
        <w:t xml:space="preserve">he </w:t>
      </w:r>
      <w:r>
        <w:t>District’s CFP is a six-year plan, rather than a 20-year plan, it does state that “The District will closely monitor population growth and incorporate planned projects to meet actual student needs in future updates to this Plan” (p. 3).</w:t>
      </w:r>
    </w:p>
    <w:p w:rsidR="00357B95" w:rsidRDefault="00357B95" w:rsidP="00683E00">
      <w:pPr>
        <w:pStyle w:val="BodyText"/>
      </w:pPr>
    </w:p>
    <w:p w:rsidR="00357B95" w:rsidRDefault="00357B95" w:rsidP="00683E00">
      <w:pPr>
        <w:pStyle w:val="BodyText"/>
      </w:pPr>
    </w:p>
    <w:p w:rsidR="00357B95" w:rsidRDefault="00357B95" w:rsidP="00683E00">
      <w:pPr>
        <w:pStyle w:val="BodyText"/>
      </w:pPr>
    </w:p>
    <w:p w:rsidR="00357B95" w:rsidRDefault="00357B95" w:rsidP="00683E00">
      <w:pPr>
        <w:pStyle w:val="BodyText"/>
      </w:pPr>
    </w:p>
    <w:p w:rsidR="00357B95" w:rsidRDefault="00357B95" w:rsidP="00683E00">
      <w:pPr>
        <w:pStyle w:val="BodyText"/>
      </w:pPr>
    </w:p>
    <w:p w:rsidR="00357B95" w:rsidRDefault="00357B95" w:rsidP="00683E00">
      <w:pPr>
        <w:pStyle w:val="BodyText"/>
      </w:pPr>
    </w:p>
    <w:p w:rsidR="00137D40" w:rsidRDefault="00683E00" w:rsidP="00137D40">
      <w:pPr>
        <w:pStyle w:val="Heading5"/>
        <w:spacing w:before="120"/>
      </w:pPr>
      <w:r>
        <w:lastRenderedPageBreak/>
        <w:t>Blaine School District</w:t>
      </w:r>
    </w:p>
    <w:p w:rsidR="00683E00" w:rsidRDefault="00925B88" w:rsidP="00683E00">
      <w:pPr>
        <w:pStyle w:val="BodyText"/>
      </w:pPr>
      <w:r>
        <w:t xml:space="preserve">The </w:t>
      </w:r>
      <w:r w:rsidR="00AA7EBE">
        <w:t>future needs</w:t>
      </w:r>
      <w:r>
        <w:t xml:space="preserve"> analysis above indicates that the Blaine School District’s projected enrollment in 2036 will exceed the current school capacity by 56</w:t>
      </w:r>
      <w:r w:rsidR="00BB42DE">
        <w:t xml:space="preserve"> </w:t>
      </w:r>
      <w:r>
        <w:t xml:space="preserve">students. The </w:t>
      </w:r>
      <w:r w:rsidRPr="00AA7EBE">
        <w:rPr>
          <w:i/>
        </w:rPr>
        <w:t>Blaine</w:t>
      </w:r>
      <w:r w:rsidR="004A6BA0" w:rsidRPr="00AA7EBE">
        <w:rPr>
          <w:i/>
        </w:rPr>
        <w:t xml:space="preserve"> School District </w:t>
      </w:r>
      <w:r w:rsidRPr="00AA7EBE">
        <w:rPr>
          <w:i/>
        </w:rPr>
        <w:t>Capital Facilities Plan</w:t>
      </w:r>
      <w:r>
        <w:t xml:space="preserve"> </w:t>
      </w:r>
      <w:r w:rsidR="003B485B">
        <w:t xml:space="preserve">(Dec. 2015) </w:t>
      </w:r>
      <w:r>
        <w:t>indicates</w:t>
      </w:r>
      <w:r w:rsidR="004A6BA0">
        <w:t xml:space="preserve"> that </w:t>
      </w:r>
      <w:r>
        <w:t xml:space="preserve">permanent capacity </w:t>
      </w:r>
      <w:r w:rsidR="004A6BA0">
        <w:t xml:space="preserve">will increase </w:t>
      </w:r>
      <w:r>
        <w:t xml:space="preserve">by </w:t>
      </w:r>
      <w:r w:rsidR="00B218F7">
        <w:t xml:space="preserve">at least </w:t>
      </w:r>
      <w:r w:rsidR="004A6BA0">
        <w:t>60</w:t>
      </w:r>
      <w:r>
        <w:t xml:space="preserve"> </w:t>
      </w:r>
      <w:r w:rsidR="004A6BA0">
        <w:t xml:space="preserve">more students </w:t>
      </w:r>
      <w:r>
        <w:t>over the six-year planning period</w:t>
      </w:r>
      <w:r w:rsidR="004A6BA0">
        <w:t>, with flexibility built into the plan to accommodate up to a total of 184 more students (p. 11</w:t>
      </w:r>
      <w:r>
        <w:t>).</w:t>
      </w:r>
      <w:r w:rsidR="004A6BA0">
        <w:t xml:space="preserve"> P</w:t>
      </w:r>
      <w:r>
        <w:t xml:space="preserve">rojects </w:t>
      </w:r>
      <w:r w:rsidR="004A6BA0">
        <w:t xml:space="preserve">in the six-year planning period include </w:t>
      </w:r>
      <w:r w:rsidR="004A6BA0" w:rsidRPr="004A6BA0">
        <w:t>improvements to the Blaine Primary School, Blaine Elementary</w:t>
      </w:r>
      <w:r w:rsidR="004A6BA0">
        <w:t xml:space="preserve"> School and Blaine High School (p. 11).</w:t>
      </w:r>
      <w:r>
        <w:t xml:space="preserve">  These projects are being funded by </w:t>
      </w:r>
      <w:r w:rsidR="004A6BA0">
        <w:t>a $45</w:t>
      </w:r>
      <w:r>
        <w:t xml:space="preserve"> million bond measure passed by the voters</w:t>
      </w:r>
      <w:r w:rsidR="004A6BA0">
        <w:t xml:space="preserve"> in February 2015.  </w:t>
      </w:r>
      <w:r w:rsidR="00B90DE8">
        <w:t xml:space="preserve">The CFP also </w:t>
      </w:r>
      <w:r w:rsidR="00131E48">
        <w:t xml:space="preserve">indicates that the District </w:t>
      </w:r>
      <w:r w:rsidR="00B90DE8">
        <w:t>plans to identify a site that could accommodate a school in the Birch Bay area, although this project is not currently funded</w:t>
      </w:r>
      <w:r w:rsidR="004A6BA0">
        <w:t xml:space="preserve"> (p. 12)</w:t>
      </w:r>
      <w:r w:rsidR="00B90DE8">
        <w:t xml:space="preserve">. </w:t>
      </w:r>
    </w:p>
    <w:p w:rsidR="00DF6AE7" w:rsidRDefault="00DF6AE7" w:rsidP="00683E00">
      <w:pPr>
        <w:pStyle w:val="BodyText"/>
      </w:pPr>
    </w:p>
    <w:p w:rsidR="00683E00" w:rsidRDefault="00683E00" w:rsidP="00683E00">
      <w:pPr>
        <w:pStyle w:val="Heading5"/>
        <w:spacing w:before="120"/>
      </w:pPr>
      <w:r>
        <w:t>Ferndale School District</w:t>
      </w:r>
    </w:p>
    <w:p w:rsidR="0059144B" w:rsidRDefault="0059144B" w:rsidP="00683E00">
      <w:pPr>
        <w:pStyle w:val="BodyText"/>
      </w:pPr>
      <w:r w:rsidRPr="0059144B">
        <w:t xml:space="preserve">The </w:t>
      </w:r>
      <w:r w:rsidR="00AA7EBE">
        <w:t>future needs</w:t>
      </w:r>
      <w:r w:rsidRPr="0059144B">
        <w:t xml:space="preserve"> analysis above indicates that the </w:t>
      </w:r>
      <w:r>
        <w:t>Ferndale</w:t>
      </w:r>
      <w:r w:rsidRPr="0059144B">
        <w:t xml:space="preserve"> School District’s projected enrollment in 2036 will exceed the current school capacity by </w:t>
      </w:r>
      <w:r w:rsidR="00B218F7">
        <w:t>3</w:t>
      </w:r>
      <w:r>
        <w:t>21</w:t>
      </w:r>
      <w:r w:rsidRPr="0059144B">
        <w:t xml:space="preserve"> students. T</w:t>
      </w:r>
      <w:r>
        <w:t xml:space="preserve">he </w:t>
      </w:r>
      <w:r w:rsidRPr="00AA7EBE">
        <w:rPr>
          <w:i/>
        </w:rPr>
        <w:t xml:space="preserve">Ferndale Schools Capital Facilities Plan and School Impact Fee Ordinance </w:t>
      </w:r>
      <w:r w:rsidR="003B485B">
        <w:t xml:space="preserve">(April 2013) </w:t>
      </w:r>
      <w:r w:rsidRPr="0059144B">
        <w:t xml:space="preserve">indicates that </w:t>
      </w:r>
      <w:r w:rsidR="00A21AB7">
        <w:t xml:space="preserve">the District is looking at replacing two elementary schools and one high school in the six-year planning period </w:t>
      </w:r>
      <w:r w:rsidR="00B218F7">
        <w:t xml:space="preserve">at the cost of about $140 million </w:t>
      </w:r>
      <w:r w:rsidR="00A21AB7">
        <w:t>(p. 5).</w:t>
      </w:r>
      <w:r w:rsidR="00B218F7">
        <w:t xml:space="preserve">  The proposed funding source would primarily be voter approved bonds and state matching funds (p. 6).</w:t>
      </w:r>
    </w:p>
    <w:p w:rsidR="00DF6AE7" w:rsidRDefault="00DF6AE7" w:rsidP="00683E00">
      <w:pPr>
        <w:pStyle w:val="BodyText"/>
      </w:pPr>
    </w:p>
    <w:p w:rsidR="00683E00" w:rsidRDefault="00683E00" w:rsidP="00683E00">
      <w:pPr>
        <w:pStyle w:val="Heading5"/>
        <w:spacing w:before="120"/>
      </w:pPr>
      <w:r w:rsidRPr="00562052">
        <w:t>Lynden S</w:t>
      </w:r>
      <w:r>
        <w:t>chool District</w:t>
      </w:r>
    </w:p>
    <w:p w:rsidR="00A21AB7" w:rsidRDefault="00A21AB7" w:rsidP="00683E00">
      <w:pPr>
        <w:pStyle w:val="BodyText"/>
      </w:pPr>
      <w:r w:rsidRPr="00A21AB7">
        <w:t xml:space="preserve">The </w:t>
      </w:r>
      <w:r w:rsidR="00AA7EBE">
        <w:t>future needs</w:t>
      </w:r>
      <w:r w:rsidRPr="00A21AB7">
        <w:t xml:space="preserve"> analysis above indicates that the </w:t>
      </w:r>
      <w:r>
        <w:t>Lynden</w:t>
      </w:r>
      <w:r w:rsidRPr="00A21AB7">
        <w:t xml:space="preserve"> School District’s projected enrollment in 2036 will exceed the current school capacity by </w:t>
      </w:r>
      <w:r w:rsidR="00DE4B4D">
        <w:t>782</w:t>
      </w:r>
      <w:r w:rsidRPr="00A21AB7">
        <w:t xml:space="preserve"> students. T</w:t>
      </w:r>
      <w:r>
        <w:t xml:space="preserve">he </w:t>
      </w:r>
      <w:r w:rsidRPr="00AA7EBE">
        <w:rPr>
          <w:i/>
        </w:rPr>
        <w:t>Lynden School District Capital Facilities Plan</w:t>
      </w:r>
      <w:r w:rsidRPr="00A21AB7">
        <w:t xml:space="preserve"> </w:t>
      </w:r>
      <w:r w:rsidR="003B485B">
        <w:t xml:space="preserve">(Feb. 2016) </w:t>
      </w:r>
      <w:r w:rsidRPr="00A21AB7">
        <w:t xml:space="preserve">indicates that permanent capacity will increase by </w:t>
      </w:r>
      <w:r w:rsidR="00131E48">
        <w:t>2</w:t>
      </w:r>
      <w:r>
        <w:t>50</w:t>
      </w:r>
      <w:r w:rsidRPr="00A21AB7">
        <w:t xml:space="preserve"> more students over the six-year planning period</w:t>
      </w:r>
      <w:r w:rsidR="00DE4B4D">
        <w:t xml:space="preserve"> and by a total of 1,050</w:t>
      </w:r>
      <w:r>
        <w:t xml:space="preserve"> over the 20-year planning period</w:t>
      </w:r>
      <w:r w:rsidRPr="00A21AB7">
        <w:t xml:space="preserve"> (p</w:t>
      </w:r>
      <w:r w:rsidR="00DE4B4D">
        <w:t xml:space="preserve">p. 5, </w:t>
      </w:r>
      <w:r>
        <w:t>10</w:t>
      </w:r>
      <w:r w:rsidR="00DE4B4D">
        <w:t xml:space="preserve"> and 11</w:t>
      </w:r>
      <w:r w:rsidRPr="00A21AB7">
        <w:t xml:space="preserve">). Projects in the six-year planning period </w:t>
      </w:r>
      <w:r w:rsidR="00EA3F6F">
        <w:t xml:space="preserve">that will add capacity </w:t>
      </w:r>
      <w:r w:rsidR="00131E48">
        <w:t xml:space="preserve">are </w:t>
      </w:r>
      <w:r>
        <w:t>construction of</w:t>
      </w:r>
      <w:r w:rsidR="00DE4B4D">
        <w:t xml:space="preserve"> a new Fisher Elementary School and</w:t>
      </w:r>
      <w:r>
        <w:t xml:space="preserve"> construction of a new Lynden Middle School</w:t>
      </w:r>
      <w:r w:rsidR="00EA3F6F">
        <w:t xml:space="preserve"> (p. 10).</w:t>
      </w:r>
      <w:r w:rsidRPr="00A21AB7">
        <w:t xml:space="preserve">  These projects are being funded by a $</w:t>
      </w:r>
      <w:r w:rsidR="00EA3F6F">
        <w:t>48</w:t>
      </w:r>
      <w:r w:rsidRPr="00A21AB7">
        <w:t xml:space="preserve"> million bond measure passed by the voters in </w:t>
      </w:r>
      <w:r w:rsidR="00EA3F6F">
        <w:t>April</w:t>
      </w:r>
      <w:r w:rsidRPr="00A21AB7">
        <w:t xml:space="preserve"> 2015</w:t>
      </w:r>
      <w:r w:rsidR="00EA3F6F">
        <w:t xml:space="preserve"> and state matching funds</w:t>
      </w:r>
      <w:r w:rsidRPr="00A21AB7">
        <w:t>.  The CFP also indic</w:t>
      </w:r>
      <w:r w:rsidR="00DE4B4D">
        <w:t>ates that the District plans</w:t>
      </w:r>
      <w:r w:rsidRPr="00A21AB7">
        <w:t xml:space="preserve"> to </w:t>
      </w:r>
      <w:r w:rsidR="00E10737">
        <w:t xml:space="preserve">make necessary additions to address </w:t>
      </w:r>
      <w:r w:rsidR="002B2473">
        <w:t xml:space="preserve">the </w:t>
      </w:r>
      <w:r w:rsidR="00EA3F6F">
        <w:t>high school</w:t>
      </w:r>
      <w:r w:rsidR="00DE4B4D">
        <w:t xml:space="preserve"> </w:t>
      </w:r>
      <w:r w:rsidR="00E10737">
        <w:t xml:space="preserve">facility needs and elementary </w:t>
      </w:r>
      <w:r w:rsidR="00DE4B4D">
        <w:t>school</w:t>
      </w:r>
      <w:r w:rsidR="00E10737">
        <w:t xml:space="preserve"> facility needs</w:t>
      </w:r>
      <w:r w:rsidR="00EA3F6F">
        <w:t xml:space="preserve"> within the 20-year planning period.  The District</w:t>
      </w:r>
      <w:r w:rsidR="00DE4B4D">
        <w:t xml:space="preserve"> would seek voter approval of </w:t>
      </w:r>
      <w:r w:rsidR="00EA3F6F">
        <w:t>bond measure</w:t>
      </w:r>
      <w:r w:rsidR="00DE4B4D">
        <w:t>s in the future for the</w:t>
      </w:r>
      <w:r w:rsidR="00EA3F6F">
        <w:t>s</w:t>
      </w:r>
      <w:r w:rsidR="00DE4B4D">
        <w:t>e</w:t>
      </w:r>
      <w:r w:rsidR="00EA3F6F">
        <w:t xml:space="preserve"> project</w:t>
      </w:r>
      <w:r w:rsidR="00DE4B4D">
        <w:t>s</w:t>
      </w:r>
      <w:r w:rsidR="00EA3F6F">
        <w:t xml:space="preserve"> (p</w:t>
      </w:r>
      <w:r w:rsidR="00DE4B4D">
        <w:t>p</w:t>
      </w:r>
      <w:r w:rsidR="00EA3F6F">
        <w:t>. 10</w:t>
      </w:r>
      <w:r w:rsidR="00DE4B4D">
        <w:t xml:space="preserve"> and 11</w:t>
      </w:r>
      <w:r w:rsidRPr="00A21AB7">
        <w:t>).</w:t>
      </w:r>
    </w:p>
    <w:p w:rsidR="00683E00" w:rsidRDefault="00683E00" w:rsidP="00683E00">
      <w:pPr>
        <w:pStyle w:val="BodyText"/>
      </w:pPr>
    </w:p>
    <w:p w:rsidR="00037C86" w:rsidRDefault="00037C86" w:rsidP="00683E00">
      <w:pPr>
        <w:pStyle w:val="BodyText"/>
      </w:pPr>
    </w:p>
    <w:p w:rsidR="00037C86" w:rsidRDefault="00037C86" w:rsidP="00683E00">
      <w:pPr>
        <w:pStyle w:val="BodyText"/>
      </w:pPr>
    </w:p>
    <w:p w:rsidR="00037C86" w:rsidRDefault="00037C86" w:rsidP="00683E00">
      <w:pPr>
        <w:pStyle w:val="BodyText"/>
      </w:pPr>
    </w:p>
    <w:p w:rsidR="00037C86" w:rsidRDefault="00037C86" w:rsidP="00683E00">
      <w:pPr>
        <w:pStyle w:val="BodyText"/>
      </w:pPr>
    </w:p>
    <w:p w:rsidR="00037C86" w:rsidRDefault="00037C86" w:rsidP="00683E00">
      <w:pPr>
        <w:pStyle w:val="BodyText"/>
      </w:pPr>
    </w:p>
    <w:p w:rsidR="00683E00" w:rsidRDefault="00683E00" w:rsidP="00683E00">
      <w:pPr>
        <w:pStyle w:val="Heading5"/>
        <w:spacing w:before="120"/>
      </w:pPr>
      <w:r>
        <w:t>Meridian School District</w:t>
      </w:r>
    </w:p>
    <w:p w:rsidR="006E5188" w:rsidRPr="006E5188" w:rsidRDefault="006E5188" w:rsidP="006E5188">
      <w:pPr>
        <w:pStyle w:val="BodyText"/>
      </w:pPr>
      <w:r w:rsidRPr="006E5188">
        <w:t xml:space="preserve">The </w:t>
      </w:r>
      <w:r w:rsidR="00AA7EBE">
        <w:t>future needs</w:t>
      </w:r>
      <w:r w:rsidRPr="006E5188">
        <w:t xml:space="preserve"> analysis above indicates that the </w:t>
      </w:r>
      <w:r>
        <w:t>Meridian</w:t>
      </w:r>
      <w:r w:rsidRPr="006E5188">
        <w:t xml:space="preserve"> School District’s projected enrollment</w:t>
      </w:r>
      <w:r>
        <w:t xml:space="preserve"> in 2036 can be accommodated by</w:t>
      </w:r>
      <w:r w:rsidR="00DE4B4D">
        <w:t xml:space="preserve"> the current school facilities</w:t>
      </w:r>
      <w:r w:rsidRPr="006E5188">
        <w:t xml:space="preserve">. </w:t>
      </w:r>
      <w:r w:rsidR="002E59BF">
        <w:t xml:space="preserve"> </w:t>
      </w:r>
      <w:r w:rsidRPr="006E5188">
        <w:t xml:space="preserve">The </w:t>
      </w:r>
      <w:r w:rsidRPr="00AA7EBE">
        <w:rPr>
          <w:i/>
        </w:rPr>
        <w:t>Meridian School</w:t>
      </w:r>
      <w:r w:rsidR="002E59BF" w:rsidRPr="00AA7EBE">
        <w:rPr>
          <w:i/>
        </w:rPr>
        <w:t xml:space="preserve"> District No. 505</w:t>
      </w:r>
      <w:r w:rsidRPr="00AA7EBE">
        <w:rPr>
          <w:i/>
        </w:rPr>
        <w:t xml:space="preserve"> Capital Facilities Plan 2015-2021</w:t>
      </w:r>
      <w:r w:rsidR="003B485B">
        <w:t xml:space="preserve"> (June 2015)</w:t>
      </w:r>
      <w:r w:rsidRPr="006E5188">
        <w:t xml:space="preserve"> indicates that </w:t>
      </w:r>
      <w:r>
        <w:t>the District recently completed capacity and improvement projects at Irene Reither Elementary School and Meridian High School</w:t>
      </w:r>
      <w:r w:rsidR="0068429A">
        <w:t xml:space="preserve"> (p. 8)</w:t>
      </w:r>
      <w:r>
        <w:t xml:space="preserve">.  </w:t>
      </w:r>
      <w:r w:rsidR="00E82837" w:rsidRPr="00E82837">
        <w:t>The District’s CFP states that “The District plans to monitor capacity and enrollment growth and, as necessary</w:t>
      </w:r>
      <w:r w:rsidR="002E59BF">
        <w:t>,</w:t>
      </w:r>
      <w:r w:rsidR="00E82837" w:rsidRPr="00E82837">
        <w:t xml:space="preserve"> will update this Plan to reflect capacity needs and related planned projects” (p. 8).</w:t>
      </w:r>
      <w:r w:rsidR="00E82837">
        <w:t xml:space="preserve">  In fact, t</w:t>
      </w:r>
      <w:r w:rsidR="0068429A">
        <w:t xml:space="preserve">he Meridian School District Superintendent indicated, in a letter of February 23, 2016, </w:t>
      </w:r>
      <w:r w:rsidR="00E82837">
        <w:t xml:space="preserve">that the District is currently experiencing considerable growth at the elementary level.  Therefore, </w:t>
      </w:r>
      <w:r w:rsidR="0068429A">
        <w:t>the Meridian Parent Partnership Program (MP3)</w:t>
      </w:r>
      <w:r w:rsidR="00E82837">
        <w:t>, which currently occupies</w:t>
      </w:r>
      <w:r w:rsidR="0068429A">
        <w:t xml:space="preserve"> the Ten Mile Creek Elementary School</w:t>
      </w:r>
      <w:r w:rsidR="00E82837">
        <w:t>, will be re-located</w:t>
      </w:r>
      <w:r w:rsidR="002E59BF">
        <w:t xml:space="preserve"> to a new campus </w:t>
      </w:r>
      <w:r w:rsidR="0068429A">
        <w:t>west of the District Office on Laurel Rd. This new campus will consist of portable buildings, parking a</w:t>
      </w:r>
      <w:r w:rsidR="00E82837">
        <w:t>nd lawn area</w:t>
      </w:r>
      <w:r w:rsidR="0068429A">
        <w:t xml:space="preserve">.  </w:t>
      </w:r>
      <w:r w:rsidR="0068429A" w:rsidRPr="0068429A">
        <w:t>The Ten Mile Creek Elementary School will be utilized for kindergarten and 1</w:t>
      </w:r>
      <w:r w:rsidR="0068429A" w:rsidRPr="0068429A">
        <w:rPr>
          <w:vertAlign w:val="superscript"/>
        </w:rPr>
        <w:t>st</w:t>
      </w:r>
      <w:r w:rsidR="0068429A" w:rsidRPr="0068429A">
        <w:t xml:space="preserve"> </w:t>
      </w:r>
      <w:r w:rsidR="00E82837">
        <w:t>grade classrooms</w:t>
      </w:r>
      <w:r w:rsidR="002E59BF">
        <w:t xml:space="preserve"> at the beginning of the </w:t>
      </w:r>
      <w:r w:rsidR="00E82837">
        <w:t>2017</w:t>
      </w:r>
      <w:r w:rsidR="002E59BF">
        <w:t>-2018</w:t>
      </w:r>
      <w:r w:rsidR="00E82837">
        <w:t xml:space="preserve"> school year.   </w:t>
      </w:r>
    </w:p>
    <w:p w:rsidR="00037C86" w:rsidRDefault="00037C86" w:rsidP="00683E00">
      <w:pPr>
        <w:pStyle w:val="BodyText"/>
      </w:pPr>
    </w:p>
    <w:p w:rsidR="00683E00" w:rsidRDefault="00683E00" w:rsidP="00683E00">
      <w:pPr>
        <w:pStyle w:val="Heading5"/>
        <w:spacing w:before="120"/>
      </w:pPr>
      <w:r>
        <w:t>Mount Baker School District</w:t>
      </w:r>
    </w:p>
    <w:p w:rsidR="00BD326C" w:rsidRPr="00BD326C" w:rsidRDefault="00BD326C" w:rsidP="00BD326C">
      <w:pPr>
        <w:pStyle w:val="BodyText"/>
      </w:pPr>
      <w:r w:rsidRPr="00BD326C">
        <w:t xml:space="preserve">The </w:t>
      </w:r>
      <w:r w:rsidR="00AA7EBE">
        <w:t>future needs</w:t>
      </w:r>
      <w:r w:rsidRPr="00BD326C">
        <w:t xml:space="preserve"> analysis above indicates that the </w:t>
      </w:r>
      <w:r>
        <w:t>Mount Baker</w:t>
      </w:r>
      <w:r w:rsidRPr="00BD326C">
        <w:t xml:space="preserve"> School District’s projected enrollment in 2036 can be accommodated by the current school </w:t>
      </w:r>
      <w:r w:rsidR="00640341" w:rsidRPr="00640341">
        <w:t>facilities</w:t>
      </w:r>
      <w:r w:rsidRPr="00BD326C">
        <w:t xml:space="preserve">. The </w:t>
      </w:r>
      <w:r w:rsidRPr="00AA7EBE">
        <w:rPr>
          <w:i/>
        </w:rPr>
        <w:t>Mount</w:t>
      </w:r>
      <w:r w:rsidR="002E59BF" w:rsidRPr="00AA7EBE">
        <w:rPr>
          <w:i/>
        </w:rPr>
        <w:t xml:space="preserve"> Baker School District Capital Facilities</w:t>
      </w:r>
      <w:r w:rsidRPr="00AA7EBE">
        <w:rPr>
          <w:i/>
        </w:rPr>
        <w:t xml:space="preserve"> Plan</w:t>
      </w:r>
      <w:r w:rsidRPr="00BD326C">
        <w:t xml:space="preserve"> (May 2013) indicates that the District has adequate classroom space to serve projected student enrollment through the entire 20-year planning period (p.12). While the District does not plan to add classroom space, it does plans to invest in facility imp</w:t>
      </w:r>
      <w:r w:rsidR="002E59BF">
        <w:t>rovements, maintenance and energy</w:t>
      </w:r>
      <w:r w:rsidRPr="00BD326C">
        <w:t xml:space="preserve"> upgrades</w:t>
      </w:r>
      <w:r>
        <w:t xml:space="preserve"> (p. 12)</w:t>
      </w:r>
      <w:r w:rsidRPr="00BD326C">
        <w:t>.</w:t>
      </w:r>
    </w:p>
    <w:p w:rsidR="00BD326C" w:rsidRDefault="00BD326C" w:rsidP="00683E00">
      <w:pPr>
        <w:pStyle w:val="BodyText"/>
      </w:pPr>
    </w:p>
    <w:p w:rsidR="00683E00" w:rsidRDefault="00683E00" w:rsidP="00683E00">
      <w:pPr>
        <w:pStyle w:val="Heading5"/>
        <w:spacing w:before="120"/>
      </w:pPr>
      <w:r>
        <w:t>Nooksack Valley School District</w:t>
      </w:r>
    </w:p>
    <w:p w:rsidR="009343E4" w:rsidRDefault="004E0802" w:rsidP="00037D4F">
      <w:pPr>
        <w:pStyle w:val="BodyText"/>
      </w:pPr>
      <w:r w:rsidRPr="004E0802">
        <w:t xml:space="preserve">The </w:t>
      </w:r>
      <w:r w:rsidR="00AA7EBE">
        <w:t>future needs</w:t>
      </w:r>
      <w:r w:rsidRPr="004E0802">
        <w:t xml:space="preserve"> analysis above indicates that the </w:t>
      </w:r>
      <w:r>
        <w:t>Nooksack Valley</w:t>
      </w:r>
      <w:r w:rsidRPr="004E0802">
        <w:t xml:space="preserve"> School District’s projected enrollment in 2036 can be accommodated by the current school </w:t>
      </w:r>
      <w:r w:rsidR="00640341" w:rsidRPr="00640341">
        <w:t>facilities</w:t>
      </w:r>
      <w:r w:rsidRPr="004E0802">
        <w:t xml:space="preserve">. Projects in the six-year planning period </w:t>
      </w:r>
      <w:r>
        <w:t xml:space="preserve">include replacing the Nooksack Valley Middle School (except the covered play area), </w:t>
      </w:r>
      <w:r w:rsidR="00131E48">
        <w:t xml:space="preserve">expanding the </w:t>
      </w:r>
      <w:r>
        <w:t xml:space="preserve">Nooksack Elementary </w:t>
      </w:r>
      <w:r w:rsidR="002E59BF">
        <w:t xml:space="preserve">School (adding one kindergarten, </w:t>
      </w:r>
      <w:r>
        <w:t>three general classrooms</w:t>
      </w:r>
      <w:r w:rsidR="002E59BF">
        <w:t xml:space="preserve"> and enclosing a covered play area</w:t>
      </w:r>
      <w:r w:rsidR="00131E48">
        <w:t>), and replacing</w:t>
      </w:r>
      <w:r>
        <w:t xml:space="preserve"> the Nooksack Valley High School</w:t>
      </w:r>
      <w:r w:rsidRPr="004E0802">
        <w:t>.  These projects are being funded by a</w:t>
      </w:r>
      <w:r w:rsidR="00DF6AE7">
        <w:t>lmost $2</w:t>
      </w:r>
      <w:r w:rsidRPr="004E0802">
        <w:t>8 million bond measu</w:t>
      </w:r>
      <w:r w:rsidR="00DF6AE7">
        <w:t>re passed by the voters in February</w:t>
      </w:r>
      <w:r w:rsidRPr="004E0802">
        <w:t xml:space="preserve"> 2015 and state matching funds</w:t>
      </w:r>
      <w:r w:rsidR="00DF6AE7">
        <w:t>.  The District also</w:t>
      </w:r>
      <w:r w:rsidR="00CB46A1">
        <w:t xml:space="preserve"> plans improvements to roofs, H</w:t>
      </w:r>
      <w:r w:rsidR="00DF6AE7">
        <w:t>V</w:t>
      </w:r>
      <w:r w:rsidR="00CB46A1">
        <w:t>A</w:t>
      </w:r>
      <w:r w:rsidR="00DF6AE7">
        <w:t xml:space="preserve">C controls, gym floors and floor coverings </w:t>
      </w:r>
      <w:r w:rsidR="00DF6AE7" w:rsidRPr="00DF6AE7">
        <w:t>ov</w:t>
      </w:r>
      <w:r w:rsidR="00DF6AE7">
        <w:t>er the six-year planning period.</w:t>
      </w:r>
      <w:r w:rsidRPr="004E0802">
        <w:t xml:space="preserve"> </w:t>
      </w:r>
    </w:p>
    <w:p w:rsidR="00227520" w:rsidRDefault="00227520" w:rsidP="00037D4F">
      <w:pPr>
        <w:pStyle w:val="BodyText"/>
      </w:pPr>
    </w:p>
    <w:p w:rsidR="00227520" w:rsidRDefault="00227520" w:rsidP="00037D4F">
      <w:pPr>
        <w:pStyle w:val="BodyText"/>
      </w:pPr>
    </w:p>
    <w:p w:rsidR="009C74F3" w:rsidRDefault="009C74F3" w:rsidP="00037D4F">
      <w:pPr>
        <w:pStyle w:val="BodyText"/>
      </w:pPr>
    </w:p>
    <w:p w:rsidR="009343E4" w:rsidRDefault="009343E4" w:rsidP="00175D81">
      <w:pPr>
        <w:pStyle w:val="TOAHeading"/>
      </w:pPr>
      <w:r>
        <w:lastRenderedPageBreak/>
        <w:t>Chapter 14 – Fire Protection</w:t>
      </w:r>
    </w:p>
    <w:p w:rsidR="00A2170E" w:rsidRDefault="00A2170E" w:rsidP="00A2170E">
      <w:pPr>
        <w:pStyle w:val="Heading2"/>
      </w:pPr>
      <w:r w:rsidRPr="0045793F">
        <w:t>Fire Protection</w:t>
      </w:r>
    </w:p>
    <w:p w:rsidR="00A2170E" w:rsidRDefault="00A2170E" w:rsidP="00A2170E">
      <w:pPr>
        <w:pStyle w:val="BodyText"/>
      </w:pPr>
      <w:r>
        <w:t>The County is served by 15 different fire departments or districts, 13 of which serve unincorporated portions of the County:</w:t>
      </w:r>
    </w:p>
    <w:tbl>
      <w:tblPr>
        <w:tblW w:w="0" w:type="auto"/>
        <w:tblLook w:val="04A0" w:firstRow="1" w:lastRow="0" w:firstColumn="1" w:lastColumn="0" w:noHBand="0" w:noVBand="1"/>
      </w:tblPr>
      <w:tblGrid>
        <w:gridCol w:w="2448"/>
        <w:gridCol w:w="2430"/>
        <w:gridCol w:w="3690"/>
      </w:tblGrid>
      <w:tr w:rsidR="00A2170E" w:rsidTr="005718C9">
        <w:tc>
          <w:tcPr>
            <w:tcW w:w="2448" w:type="dxa"/>
          </w:tcPr>
          <w:p w:rsidR="00A2170E" w:rsidRPr="00A85C33" w:rsidRDefault="00A2170E" w:rsidP="005718C9">
            <w:pPr>
              <w:pStyle w:val="ListBullet"/>
            </w:pPr>
            <w:r w:rsidRPr="00A85C33">
              <w:t>City of Bellingham</w:t>
            </w:r>
          </w:p>
        </w:tc>
        <w:tc>
          <w:tcPr>
            <w:tcW w:w="2430" w:type="dxa"/>
          </w:tcPr>
          <w:p w:rsidR="00A2170E" w:rsidRPr="00D44BD0" w:rsidRDefault="00A2170E" w:rsidP="005718C9">
            <w:pPr>
              <w:pStyle w:val="ListBullet"/>
            </w:pPr>
            <w:r w:rsidRPr="00D44BD0">
              <w:t xml:space="preserve">Fire District </w:t>
            </w:r>
            <w:r>
              <w:t>7</w:t>
            </w:r>
          </w:p>
        </w:tc>
        <w:tc>
          <w:tcPr>
            <w:tcW w:w="3690" w:type="dxa"/>
          </w:tcPr>
          <w:p w:rsidR="00A2170E" w:rsidRPr="00760F75" w:rsidRDefault="00A2170E" w:rsidP="005718C9">
            <w:pPr>
              <w:pStyle w:val="ListBullet"/>
            </w:pPr>
            <w:r w:rsidRPr="00D44BD0">
              <w:t>Fire District 1</w:t>
            </w:r>
            <w:r>
              <w:t>7</w:t>
            </w:r>
          </w:p>
        </w:tc>
      </w:tr>
      <w:tr w:rsidR="00A2170E" w:rsidTr="005718C9">
        <w:tc>
          <w:tcPr>
            <w:tcW w:w="2448" w:type="dxa"/>
          </w:tcPr>
          <w:p w:rsidR="00A2170E" w:rsidRPr="00A85C33" w:rsidRDefault="00A2170E" w:rsidP="005718C9">
            <w:pPr>
              <w:pStyle w:val="ListBullet"/>
            </w:pPr>
            <w:r w:rsidRPr="00A85C33">
              <w:t>City of Lynden</w:t>
            </w:r>
          </w:p>
        </w:tc>
        <w:tc>
          <w:tcPr>
            <w:tcW w:w="2430" w:type="dxa"/>
          </w:tcPr>
          <w:p w:rsidR="00A2170E" w:rsidRPr="00D44BD0" w:rsidRDefault="00A2170E" w:rsidP="005718C9">
            <w:pPr>
              <w:pStyle w:val="ListBullet"/>
            </w:pPr>
            <w:r w:rsidRPr="00D44BD0">
              <w:t xml:space="preserve">Fire District </w:t>
            </w:r>
            <w:r>
              <w:t>8</w:t>
            </w:r>
          </w:p>
        </w:tc>
        <w:tc>
          <w:tcPr>
            <w:tcW w:w="3690" w:type="dxa"/>
          </w:tcPr>
          <w:p w:rsidR="00A2170E" w:rsidRPr="00760F75" w:rsidRDefault="00A2170E" w:rsidP="005718C9">
            <w:pPr>
              <w:pStyle w:val="ListBullet"/>
            </w:pPr>
            <w:r w:rsidRPr="00D44BD0">
              <w:t>Fire District 18</w:t>
            </w:r>
          </w:p>
        </w:tc>
      </w:tr>
      <w:tr w:rsidR="00A2170E" w:rsidTr="005718C9">
        <w:tc>
          <w:tcPr>
            <w:tcW w:w="2448" w:type="dxa"/>
          </w:tcPr>
          <w:p w:rsidR="00A2170E" w:rsidRPr="00A85C33" w:rsidRDefault="00A2170E" w:rsidP="005718C9">
            <w:pPr>
              <w:pStyle w:val="ListBullet"/>
            </w:pPr>
            <w:r w:rsidRPr="00A85C33">
              <w:t>Fire District 1</w:t>
            </w:r>
          </w:p>
        </w:tc>
        <w:tc>
          <w:tcPr>
            <w:tcW w:w="2430" w:type="dxa"/>
          </w:tcPr>
          <w:p w:rsidR="00A2170E" w:rsidRPr="00D44BD0" w:rsidRDefault="00A2170E" w:rsidP="005718C9">
            <w:pPr>
              <w:pStyle w:val="ListBullet"/>
            </w:pPr>
            <w:r w:rsidRPr="00D44BD0">
              <w:t>Fire District 1</w:t>
            </w:r>
            <w:r>
              <w:t>1</w:t>
            </w:r>
          </w:p>
        </w:tc>
        <w:tc>
          <w:tcPr>
            <w:tcW w:w="3690" w:type="dxa"/>
          </w:tcPr>
          <w:p w:rsidR="00A2170E" w:rsidRPr="00760F75" w:rsidRDefault="00A2170E" w:rsidP="005718C9">
            <w:pPr>
              <w:pStyle w:val="ListBullet"/>
            </w:pPr>
            <w:r>
              <w:t>Glacier Fire District 19</w:t>
            </w:r>
            <w:r w:rsidRPr="00760F75">
              <w:t xml:space="preserve"> </w:t>
            </w:r>
          </w:p>
        </w:tc>
      </w:tr>
      <w:tr w:rsidR="00A2170E" w:rsidTr="005718C9">
        <w:tc>
          <w:tcPr>
            <w:tcW w:w="2448" w:type="dxa"/>
          </w:tcPr>
          <w:p w:rsidR="00A2170E" w:rsidRPr="00A85C33" w:rsidRDefault="00A2170E" w:rsidP="005718C9">
            <w:pPr>
              <w:pStyle w:val="ListBullet"/>
            </w:pPr>
            <w:r w:rsidRPr="00A85C33">
              <w:t>Fire District 4</w:t>
            </w:r>
          </w:p>
        </w:tc>
        <w:tc>
          <w:tcPr>
            <w:tcW w:w="2430" w:type="dxa"/>
          </w:tcPr>
          <w:p w:rsidR="00A2170E" w:rsidRPr="00D44BD0" w:rsidRDefault="00A2170E" w:rsidP="005718C9">
            <w:pPr>
              <w:pStyle w:val="ListBullet"/>
            </w:pPr>
            <w:r w:rsidRPr="00D44BD0">
              <w:t>Fire District 1</w:t>
            </w:r>
            <w:r>
              <w:t>4</w:t>
            </w:r>
          </w:p>
        </w:tc>
        <w:tc>
          <w:tcPr>
            <w:tcW w:w="3690" w:type="dxa"/>
          </w:tcPr>
          <w:p w:rsidR="00A2170E" w:rsidRPr="00760F75" w:rsidRDefault="00A2170E" w:rsidP="005718C9">
            <w:pPr>
              <w:pStyle w:val="ListBullet"/>
            </w:pPr>
            <w:r w:rsidRPr="00760F75">
              <w:t>North Whatcom Fi</w:t>
            </w:r>
            <w:r w:rsidR="00A373DC">
              <w:t>re and Rescue</w:t>
            </w:r>
          </w:p>
        </w:tc>
      </w:tr>
      <w:tr w:rsidR="00A2170E" w:rsidTr="005718C9">
        <w:tc>
          <w:tcPr>
            <w:tcW w:w="2448" w:type="dxa"/>
          </w:tcPr>
          <w:p w:rsidR="00A2170E" w:rsidRPr="00A85C33" w:rsidRDefault="00A2170E" w:rsidP="005718C9">
            <w:pPr>
              <w:pStyle w:val="ListBullet"/>
            </w:pPr>
            <w:r w:rsidRPr="00A85C33">
              <w:t>Fire District 5</w:t>
            </w:r>
          </w:p>
        </w:tc>
        <w:tc>
          <w:tcPr>
            <w:tcW w:w="2430" w:type="dxa"/>
          </w:tcPr>
          <w:p w:rsidR="00A2170E" w:rsidRPr="00D44BD0" w:rsidRDefault="00A2170E" w:rsidP="005718C9">
            <w:pPr>
              <w:pStyle w:val="ListBullet"/>
            </w:pPr>
            <w:r w:rsidRPr="00D44BD0">
              <w:t>Fire District 1</w:t>
            </w:r>
            <w:r>
              <w:t>6</w:t>
            </w:r>
          </w:p>
        </w:tc>
        <w:tc>
          <w:tcPr>
            <w:tcW w:w="3690" w:type="dxa"/>
          </w:tcPr>
          <w:p w:rsidR="00A2170E" w:rsidRDefault="00A2170E" w:rsidP="005718C9">
            <w:pPr>
              <w:pStyle w:val="ListBullet"/>
            </w:pPr>
            <w:r w:rsidRPr="00760F75">
              <w:t>South Whatcom Fire Authority</w:t>
            </w:r>
          </w:p>
        </w:tc>
      </w:tr>
    </w:tbl>
    <w:p w:rsidR="00A2170E" w:rsidRDefault="00A2170E" w:rsidP="00A2170E">
      <w:pPr>
        <w:pStyle w:val="BodyText"/>
      </w:pPr>
      <w:r>
        <w:t xml:space="preserve">The cities of Bellingham and Lynden have their own fire departments. </w:t>
      </w:r>
      <w:r w:rsidR="001D1F34">
        <w:t xml:space="preserve"> </w:t>
      </w:r>
      <w:r w:rsidR="003D6440">
        <w:t xml:space="preserve">There are urban growth areas (UGAs) within the boundaries of seven fire districts in the County.  These seven districts serve the UGAs along with surrounding rural areas.  </w:t>
      </w:r>
      <w:r w:rsidR="001D1F34" w:rsidRPr="001D1F34">
        <w:t>Fire District 1 serves the cities of Everson and Nooksack.</w:t>
      </w:r>
      <w:r w:rsidR="001D1F34">
        <w:t xml:space="preserve"> </w:t>
      </w:r>
      <w:r>
        <w:t xml:space="preserve">Fire District 7 serves the City of Ferndale and the Cherry Point UGA. </w:t>
      </w:r>
      <w:r w:rsidR="001D1F34">
        <w:t xml:space="preserve">Fire District 8 serves portions of the Bellingham UGA. </w:t>
      </w:r>
      <w:r>
        <w:t xml:space="preserve">Fire District 14 serves the City of Sumas and the Columbia Valley UGA. </w:t>
      </w:r>
      <w:r w:rsidR="001D1F34">
        <w:t xml:space="preserve"> </w:t>
      </w:r>
      <w:r w:rsidR="001D1F34" w:rsidRPr="001D1F34">
        <w:t>North Whatcom Fire and Resc</w:t>
      </w:r>
      <w:r w:rsidR="00D872F0">
        <w:t xml:space="preserve">ue, which also provides service within the boundaries of Fire District 4, serves the City of Blaine, </w:t>
      </w:r>
      <w:r w:rsidR="001D1F34" w:rsidRPr="001D1F34">
        <w:t>the Birch Bay UGA</w:t>
      </w:r>
      <w:r w:rsidR="00D872F0">
        <w:t>, the Lynden UGA (outside city limits) and portions of the Bellingham UGA</w:t>
      </w:r>
      <w:r w:rsidR="001D1F34" w:rsidRPr="001D1F34">
        <w:t>.</w:t>
      </w:r>
      <w:r w:rsidR="001D1F34">
        <w:t xml:space="preserve">  South Whatcom Fire Authority serves portions of the Bellingham UGA.</w:t>
      </w:r>
      <w:r w:rsidR="003D6440">
        <w:t xml:space="preserve">  Six fire districts serve rural areas and do not contain UGAs within their boundaries.  These are Fire Districts 5, 11, 16, 17, 18 and 19.</w:t>
      </w:r>
    </w:p>
    <w:p w:rsidR="00A2170E" w:rsidRDefault="00A2170E" w:rsidP="00A2170E">
      <w:pPr>
        <w:pStyle w:val="BodyText"/>
      </w:pPr>
      <w:r>
        <w:t xml:space="preserve">Each city and fire protection district is assigned a numeric fire protection rating (a Class 1 rating is considered best) by the </w:t>
      </w:r>
      <w:r w:rsidR="00FE118C">
        <w:t>Washington Surveying and Rating</w:t>
      </w:r>
      <w:r>
        <w:t xml:space="preserve"> Bureau. Insurance companies fund the Bureau to perform on-site inspections of fire districts to determine the rating. The Bureau analyzes five areas: average response time, water supply, communication network, schedule of fire inspections, and existing conditions of fire stations. Fire station evaluations focus on the age of vehicles, amount of personnel training, and whether the facilities are staffed or not. Insurance companies use the fire protection rating to help determine insurance rates on all fire insurance policies. Quality of fire service can have a significant impact on fire insurance rates with the greatest impact experienced by commercial occupancies.</w:t>
      </w:r>
    </w:p>
    <w:p w:rsidR="00A2170E" w:rsidRDefault="00A2170E" w:rsidP="00A2170E">
      <w:pPr>
        <w:pStyle w:val="BodyText"/>
      </w:pPr>
      <w:r>
        <w:t>In addition to fire protection services, the agencies listed here provide responses to medical emergencies. In</w:t>
      </w:r>
      <w:r w:rsidR="00491A14">
        <w:t xml:space="preserve"> fact, EMS calls account for the majority</w:t>
      </w:r>
      <w:r>
        <w:t xml:space="preserve"> of the responses by most fire protection agencies.</w:t>
      </w:r>
    </w:p>
    <w:p w:rsidR="00175D81" w:rsidRPr="00175D81" w:rsidRDefault="00175D81" w:rsidP="00175D81">
      <w:pPr>
        <w:pStyle w:val="BodyText"/>
      </w:pPr>
      <w:r w:rsidRPr="00175D81">
        <w:t xml:space="preserve">The City of Bellingham and Whatcom County operate the 911 emergency telephone system, called What-Comm. The initial call receiving site is located in Bellingham, and is responsible for dispatching most law enforcement agencies in Whatcom County. All fire and medical related calls </w:t>
      </w:r>
      <w:r w:rsidRPr="00175D81">
        <w:lastRenderedPageBreak/>
        <w:t>are forwarded to the Fire Dispatch Center located at Bellingham Fire Department’s Broadway Street Station. The Fire Dispatch Center is responsible for dispatching all municipal fire departments and fire districts in Whatcom County. The Bellingham Police Department operates the What-Comm center and the Bellingham Fire Department operates the Fire Dispatch Center.</w:t>
      </w:r>
    </w:p>
    <w:p w:rsidR="00A2170E" w:rsidRDefault="00A2170E" w:rsidP="00A2170E">
      <w:pPr>
        <w:pStyle w:val="Heading3"/>
      </w:pPr>
      <w:bookmarkStart w:id="52" w:name="_Toc245621879"/>
      <w:r>
        <w:t>Inventory of Current Facilities</w:t>
      </w:r>
      <w:bookmarkEnd w:id="52"/>
    </w:p>
    <w:p w:rsidR="00A2170E" w:rsidRDefault="009C74F3" w:rsidP="00A2170E">
      <w:pPr>
        <w:pStyle w:val="BodyText"/>
      </w:pPr>
      <w:r>
        <w:t xml:space="preserve">The table below </w:t>
      </w:r>
      <w:r w:rsidR="00A2170E">
        <w:t>summarizes the capital facilities for each fire district. It also includes each district’s fire rating</w:t>
      </w:r>
      <w:r w:rsidR="0096109E">
        <w:t xml:space="preserve">, </w:t>
      </w:r>
      <w:r w:rsidR="00A2170E">
        <w:t>service population</w:t>
      </w:r>
      <w:r w:rsidR="0096109E">
        <w:t xml:space="preserve"> and whether the District serves an urban growth area (UGA)</w:t>
      </w:r>
      <w:r w:rsidR="00A2170E">
        <w:t>.</w:t>
      </w:r>
    </w:p>
    <w:p w:rsidR="00A2170E" w:rsidRDefault="0016410F" w:rsidP="00A2170E">
      <w:pPr>
        <w:pStyle w:val="Caption"/>
      </w:pPr>
      <w:bookmarkStart w:id="53" w:name="_Toc245621975"/>
      <w:r>
        <w:t>Table 14.1</w:t>
      </w:r>
      <w:r>
        <w:tab/>
      </w:r>
      <w:r w:rsidR="00A2170E">
        <w:t>Fire Facilities Inventory</w:t>
      </w:r>
      <w:bookmarkEnd w:id="53"/>
    </w:p>
    <w:tbl>
      <w:tblPr>
        <w:tblW w:w="8012" w:type="dxa"/>
        <w:tblInd w:w="108" w:type="dxa"/>
        <w:tblBorders>
          <w:top w:val="single" w:sz="4" w:space="0" w:color="003366"/>
          <w:bottom w:val="single" w:sz="4" w:space="0" w:color="003366"/>
          <w:insideH w:val="single" w:sz="4" w:space="0" w:color="003366"/>
        </w:tblBorders>
        <w:tblLayout w:type="fixed"/>
        <w:tblLook w:val="04A0" w:firstRow="1" w:lastRow="0" w:firstColumn="1" w:lastColumn="0" w:noHBand="0" w:noVBand="1"/>
      </w:tblPr>
      <w:tblGrid>
        <w:gridCol w:w="2015"/>
        <w:gridCol w:w="1585"/>
        <w:gridCol w:w="1402"/>
        <w:gridCol w:w="1505"/>
        <w:gridCol w:w="1505"/>
      </w:tblGrid>
      <w:tr w:rsidR="00DB0639" w:rsidTr="00357B95">
        <w:trPr>
          <w:cantSplit/>
          <w:trHeight w:val="620"/>
          <w:tblHeader/>
        </w:trPr>
        <w:tc>
          <w:tcPr>
            <w:tcW w:w="2015" w:type="dxa"/>
          </w:tcPr>
          <w:p w:rsidR="00DB0639" w:rsidRDefault="00DB0639" w:rsidP="005718C9">
            <w:pPr>
              <w:pStyle w:val="TableHeader"/>
              <w:jc w:val="left"/>
            </w:pPr>
            <w:r>
              <w:t>Fire Protection Provider</w:t>
            </w:r>
          </w:p>
        </w:tc>
        <w:tc>
          <w:tcPr>
            <w:tcW w:w="1585" w:type="dxa"/>
          </w:tcPr>
          <w:p w:rsidR="00DB0639" w:rsidRDefault="00DB0639" w:rsidP="005718C9">
            <w:pPr>
              <w:pStyle w:val="TableHeader"/>
            </w:pPr>
            <w:r>
              <w:t>Number of Stations</w:t>
            </w:r>
          </w:p>
        </w:tc>
        <w:tc>
          <w:tcPr>
            <w:tcW w:w="1402" w:type="dxa"/>
          </w:tcPr>
          <w:p w:rsidR="00DB0639" w:rsidRDefault="00DB0639" w:rsidP="005718C9">
            <w:pPr>
              <w:pStyle w:val="TableHeader"/>
            </w:pPr>
            <w:r>
              <w:t xml:space="preserve">Fire Rating </w:t>
            </w:r>
            <w:r>
              <w:rPr>
                <w:vertAlign w:val="superscript"/>
              </w:rPr>
              <w:t>1</w:t>
            </w:r>
          </w:p>
        </w:tc>
        <w:tc>
          <w:tcPr>
            <w:tcW w:w="1505" w:type="dxa"/>
          </w:tcPr>
          <w:p w:rsidR="00DB0639" w:rsidRDefault="00DB0639" w:rsidP="00163811">
            <w:pPr>
              <w:pStyle w:val="TableHeader"/>
            </w:pPr>
            <w:r>
              <w:t>Service Area Population (2013)</w:t>
            </w:r>
          </w:p>
        </w:tc>
        <w:tc>
          <w:tcPr>
            <w:tcW w:w="1505" w:type="dxa"/>
          </w:tcPr>
          <w:p w:rsidR="00DB0639" w:rsidRDefault="00DB0639" w:rsidP="005718C9">
            <w:pPr>
              <w:pStyle w:val="TableHeader"/>
            </w:pPr>
            <w:r>
              <w:t>Serves UGA (Y/N)</w:t>
            </w:r>
          </w:p>
        </w:tc>
      </w:tr>
      <w:tr w:rsidR="00DB0639" w:rsidTr="00357B95">
        <w:trPr>
          <w:cantSplit/>
          <w:trHeight w:val="431"/>
        </w:trPr>
        <w:tc>
          <w:tcPr>
            <w:tcW w:w="2015" w:type="dxa"/>
          </w:tcPr>
          <w:p w:rsidR="00DB0639" w:rsidRDefault="00DB0639" w:rsidP="005718C9">
            <w:pPr>
              <w:pStyle w:val="TableText"/>
            </w:pPr>
            <w:r>
              <w:t>City of Bellingham</w:t>
            </w:r>
          </w:p>
        </w:tc>
        <w:tc>
          <w:tcPr>
            <w:tcW w:w="1585" w:type="dxa"/>
          </w:tcPr>
          <w:p w:rsidR="00DB0639" w:rsidRDefault="00FE118C" w:rsidP="005718C9">
            <w:pPr>
              <w:pStyle w:val="TableText"/>
              <w:jc w:val="center"/>
            </w:pPr>
            <w:r>
              <w:t>7</w:t>
            </w:r>
            <w:r w:rsidR="00DB0639">
              <w:t xml:space="preserve"> </w:t>
            </w:r>
            <w:r w:rsidR="00357B95">
              <w:rPr>
                <w:vertAlign w:val="superscript"/>
              </w:rPr>
              <w:t>2</w:t>
            </w:r>
          </w:p>
        </w:tc>
        <w:tc>
          <w:tcPr>
            <w:tcW w:w="1402" w:type="dxa"/>
          </w:tcPr>
          <w:p w:rsidR="00DB0639" w:rsidRDefault="00DB0639" w:rsidP="005718C9">
            <w:pPr>
              <w:pStyle w:val="TableText"/>
              <w:jc w:val="center"/>
            </w:pPr>
            <w:r>
              <w:t>3</w:t>
            </w:r>
          </w:p>
        </w:tc>
        <w:tc>
          <w:tcPr>
            <w:tcW w:w="1505" w:type="dxa"/>
          </w:tcPr>
          <w:p w:rsidR="00DB0639" w:rsidRDefault="00DB0639" w:rsidP="00357B95">
            <w:pPr>
              <w:pStyle w:val="TableText"/>
              <w:jc w:val="center"/>
            </w:pPr>
            <w:r>
              <w:t>82,203</w:t>
            </w:r>
          </w:p>
        </w:tc>
        <w:tc>
          <w:tcPr>
            <w:tcW w:w="1505" w:type="dxa"/>
          </w:tcPr>
          <w:p w:rsidR="00DB0639" w:rsidRDefault="00DB0639" w:rsidP="005718C9">
            <w:pPr>
              <w:pStyle w:val="TableText"/>
              <w:jc w:val="center"/>
            </w:pPr>
            <w:r>
              <w:t>Y</w:t>
            </w:r>
          </w:p>
        </w:tc>
      </w:tr>
      <w:tr w:rsidR="00DB0639" w:rsidTr="00DB0639">
        <w:trPr>
          <w:cantSplit/>
        </w:trPr>
        <w:tc>
          <w:tcPr>
            <w:tcW w:w="2015" w:type="dxa"/>
          </w:tcPr>
          <w:p w:rsidR="00DB0639" w:rsidRDefault="00DB0639" w:rsidP="005718C9">
            <w:pPr>
              <w:pStyle w:val="TableText"/>
            </w:pPr>
            <w:r>
              <w:t>City of Lynden</w:t>
            </w:r>
          </w:p>
        </w:tc>
        <w:tc>
          <w:tcPr>
            <w:tcW w:w="1585" w:type="dxa"/>
          </w:tcPr>
          <w:p w:rsidR="00DB0639" w:rsidRDefault="00DB0639" w:rsidP="005718C9">
            <w:pPr>
              <w:pStyle w:val="TableText"/>
              <w:jc w:val="center"/>
            </w:pPr>
            <w:r>
              <w:t>1</w:t>
            </w:r>
          </w:p>
        </w:tc>
        <w:tc>
          <w:tcPr>
            <w:tcW w:w="1402" w:type="dxa"/>
          </w:tcPr>
          <w:p w:rsidR="00DB0639" w:rsidRDefault="00DB0639" w:rsidP="005718C9">
            <w:pPr>
              <w:pStyle w:val="TableText"/>
              <w:jc w:val="center"/>
            </w:pPr>
            <w:r>
              <w:t>5</w:t>
            </w:r>
          </w:p>
        </w:tc>
        <w:tc>
          <w:tcPr>
            <w:tcW w:w="1505" w:type="dxa"/>
          </w:tcPr>
          <w:p w:rsidR="00DB0639" w:rsidRDefault="00DB0639" w:rsidP="00357B95">
            <w:pPr>
              <w:pStyle w:val="TableText"/>
              <w:jc w:val="center"/>
            </w:pPr>
            <w:r>
              <w:t>12,726</w:t>
            </w:r>
          </w:p>
        </w:tc>
        <w:tc>
          <w:tcPr>
            <w:tcW w:w="1505" w:type="dxa"/>
          </w:tcPr>
          <w:p w:rsidR="00DB0639" w:rsidRDefault="00DB0639" w:rsidP="005718C9">
            <w:pPr>
              <w:pStyle w:val="TableText"/>
              <w:jc w:val="center"/>
            </w:pPr>
            <w:r>
              <w:t>Y</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1</w:t>
            </w:r>
          </w:p>
        </w:tc>
        <w:tc>
          <w:tcPr>
            <w:tcW w:w="1585" w:type="dxa"/>
            <w:tcBorders>
              <w:top w:val="single" w:sz="2" w:space="0" w:color="003366"/>
              <w:bottom w:val="single" w:sz="2" w:space="0" w:color="003366"/>
            </w:tcBorders>
            <w:noWrap/>
          </w:tcPr>
          <w:p w:rsidR="00DB0639" w:rsidRDefault="00DB0639" w:rsidP="005718C9">
            <w:pPr>
              <w:pStyle w:val="TableText"/>
              <w:jc w:val="center"/>
            </w:pPr>
            <w:r>
              <w:t>2</w:t>
            </w:r>
          </w:p>
        </w:tc>
        <w:tc>
          <w:tcPr>
            <w:tcW w:w="1402" w:type="dxa"/>
            <w:tcBorders>
              <w:top w:val="single" w:sz="2" w:space="0" w:color="003366"/>
              <w:bottom w:val="single" w:sz="2" w:space="0" w:color="003366"/>
            </w:tcBorders>
            <w:noWrap/>
          </w:tcPr>
          <w:p w:rsidR="00DB0639" w:rsidRDefault="00DB0639" w:rsidP="00163811">
            <w:pPr>
              <w:pStyle w:val="TableText"/>
              <w:jc w:val="center"/>
            </w:pPr>
            <w:r>
              <w:t>7/8</w:t>
            </w:r>
          </w:p>
        </w:tc>
        <w:tc>
          <w:tcPr>
            <w:tcW w:w="1505" w:type="dxa"/>
            <w:tcBorders>
              <w:top w:val="single" w:sz="2" w:space="0" w:color="003366"/>
              <w:bottom w:val="single" w:sz="2" w:space="0" w:color="003366"/>
            </w:tcBorders>
            <w:noWrap/>
          </w:tcPr>
          <w:p w:rsidR="00DB0639" w:rsidRDefault="00DB0639" w:rsidP="00357B95">
            <w:pPr>
              <w:pStyle w:val="TableText"/>
              <w:jc w:val="center"/>
            </w:pPr>
            <w:r>
              <w:t>10,796</w:t>
            </w:r>
          </w:p>
        </w:tc>
        <w:tc>
          <w:tcPr>
            <w:tcW w:w="1505" w:type="dxa"/>
            <w:tcBorders>
              <w:top w:val="single" w:sz="2" w:space="0" w:color="003366"/>
              <w:bottom w:val="single" w:sz="2" w:space="0" w:color="003366"/>
            </w:tcBorders>
          </w:tcPr>
          <w:p w:rsidR="00DB0639" w:rsidRDefault="00DB0639" w:rsidP="005718C9">
            <w:pPr>
              <w:pStyle w:val="TableText"/>
              <w:jc w:val="center"/>
            </w:pPr>
            <w:r>
              <w:t>Y</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5</w:t>
            </w:r>
          </w:p>
        </w:tc>
        <w:tc>
          <w:tcPr>
            <w:tcW w:w="1585" w:type="dxa"/>
            <w:tcBorders>
              <w:top w:val="single" w:sz="2" w:space="0" w:color="003366"/>
              <w:bottom w:val="single" w:sz="2" w:space="0" w:color="003366"/>
            </w:tcBorders>
            <w:noWrap/>
          </w:tcPr>
          <w:p w:rsidR="00DB0639" w:rsidRDefault="000D48CC" w:rsidP="005718C9">
            <w:pPr>
              <w:pStyle w:val="TableText"/>
              <w:jc w:val="center"/>
            </w:pPr>
            <w:r>
              <w:t>1</w:t>
            </w:r>
          </w:p>
        </w:tc>
        <w:tc>
          <w:tcPr>
            <w:tcW w:w="1402" w:type="dxa"/>
            <w:tcBorders>
              <w:top w:val="single" w:sz="2" w:space="0" w:color="003366"/>
              <w:bottom w:val="single" w:sz="2" w:space="0" w:color="003366"/>
            </w:tcBorders>
            <w:noWrap/>
          </w:tcPr>
          <w:p w:rsidR="00DB0639" w:rsidRDefault="000D48CC" w:rsidP="005718C9">
            <w:pPr>
              <w:pStyle w:val="TableText"/>
              <w:jc w:val="center"/>
            </w:pPr>
            <w:r>
              <w:t>5</w:t>
            </w:r>
          </w:p>
        </w:tc>
        <w:tc>
          <w:tcPr>
            <w:tcW w:w="1505" w:type="dxa"/>
            <w:tcBorders>
              <w:top w:val="single" w:sz="2" w:space="0" w:color="003366"/>
              <w:bottom w:val="single" w:sz="2" w:space="0" w:color="003366"/>
            </w:tcBorders>
            <w:noWrap/>
          </w:tcPr>
          <w:p w:rsidR="00DB0639" w:rsidRDefault="00DB0639" w:rsidP="00357B95">
            <w:pPr>
              <w:pStyle w:val="TableText"/>
              <w:jc w:val="center"/>
            </w:pPr>
            <w:r>
              <w:t>1,452</w:t>
            </w:r>
          </w:p>
        </w:tc>
        <w:tc>
          <w:tcPr>
            <w:tcW w:w="1505" w:type="dxa"/>
            <w:tcBorders>
              <w:top w:val="single" w:sz="2" w:space="0" w:color="003366"/>
              <w:bottom w:val="single" w:sz="2" w:space="0" w:color="003366"/>
            </w:tcBorders>
          </w:tcPr>
          <w:p w:rsidR="00DB0639" w:rsidRDefault="00DB0639" w:rsidP="005718C9">
            <w:pPr>
              <w:pStyle w:val="TableText"/>
              <w:jc w:val="center"/>
            </w:pPr>
            <w:r>
              <w:t>N</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7</w:t>
            </w:r>
          </w:p>
        </w:tc>
        <w:tc>
          <w:tcPr>
            <w:tcW w:w="1585" w:type="dxa"/>
            <w:tcBorders>
              <w:top w:val="single" w:sz="2" w:space="0" w:color="003366"/>
              <w:bottom w:val="single" w:sz="2" w:space="0" w:color="003366"/>
            </w:tcBorders>
            <w:noWrap/>
          </w:tcPr>
          <w:p w:rsidR="00DB0639" w:rsidRDefault="00DB0639" w:rsidP="005718C9">
            <w:pPr>
              <w:pStyle w:val="TableText"/>
              <w:jc w:val="center"/>
            </w:pPr>
            <w:r>
              <w:t>6</w:t>
            </w:r>
          </w:p>
        </w:tc>
        <w:tc>
          <w:tcPr>
            <w:tcW w:w="1402" w:type="dxa"/>
            <w:tcBorders>
              <w:top w:val="single" w:sz="2" w:space="0" w:color="003366"/>
              <w:bottom w:val="single" w:sz="2" w:space="0" w:color="003366"/>
            </w:tcBorders>
            <w:noWrap/>
          </w:tcPr>
          <w:p w:rsidR="00DB0639" w:rsidRDefault="00DB0639" w:rsidP="005718C9">
            <w:pPr>
              <w:pStyle w:val="TableText"/>
              <w:jc w:val="center"/>
            </w:pPr>
            <w:r>
              <w:t xml:space="preserve">6/5 </w:t>
            </w:r>
            <w:r w:rsidR="00357B95">
              <w:rPr>
                <w:vertAlign w:val="superscript"/>
              </w:rPr>
              <w:t>3</w:t>
            </w:r>
          </w:p>
        </w:tc>
        <w:tc>
          <w:tcPr>
            <w:tcW w:w="1505" w:type="dxa"/>
            <w:tcBorders>
              <w:top w:val="single" w:sz="2" w:space="0" w:color="003366"/>
              <w:bottom w:val="single" w:sz="2" w:space="0" w:color="003366"/>
            </w:tcBorders>
            <w:noWrap/>
          </w:tcPr>
          <w:p w:rsidR="00DB0639" w:rsidRDefault="00DB0639" w:rsidP="00357B95">
            <w:pPr>
              <w:pStyle w:val="TableText"/>
              <w:jc w:val="center"/>
            </w:pPr>
            <w:r>
              <w:t>22,447</w:t>
            </w:r>
          </w:p>
        </w:tc>
        <w:tc>
          <w:tcPr>
            <w:tcW w:w="1505" w:type="dxa"/>
            <w:tcBorders>
              <w:top w:val="single" w:sz="2" w:space="0" w:color="003366"/>
              <w:bottom w:val="single" w:sz="2" w:space="0" w:color="003366"/>
            </w:tcBorders>
          </w:tcPr>
          <w:p w:rsidR="00DB0639" w:rsidRDefault="00DB0639" w:rsidP="005718C9">
            <w:pPr>
              <w:pStyle w:val="TableText"/>
              <w:jc w:val="center"/>
            </w:pPr>
            <w:r>
              <w:t>Y</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8</w:t>
            </w:r>
          </w:p>
        </w:tc>
        <w:tc>
          <w:tcPr>
            <w:tcW w:w="1585" w:type="dxa"/>
            <w:tcBorders>
              <w:top w:val="single" w:sz="2" w:space="0" w:color="003366"/>
              <w:bottom w:val="single" w:sz="2" w:space="0" w:color="003366"/>
            </w:tcBorders>
            <w:noWrap/>
          </w:tcPr>
          <w:p w:rsidR="00DB0639" w:rsidRDefault="00DB0639" w:rsidP="005718C9">
            <w:pPr>
              <w:pStyle w:val="TableText"/>
              <w:jc w:val="center"/>
            </w:pPr>
            <w:r>
              <w:t>2</w:t>
            </w:r>
          </w:p>
        </w:tc>
        <w:tc>
          <w:tcPr>
            <w:tcW w:w="1402" w:type="dxa"/>
            <w:tcBorders>
              <w:top w:val="single" w:sz="2" w:space="0" w:color="003366"/>
              <w:bottom w:val="single" w:sz="2" w:space="0" w:color="003366"/>
            </w:tcBorders>
            <w:noWrap/>
          </w:tcPr>
          <w:p w:rsidR="00DB0639" w:rsidRDefault="00FE118C" w:rsidP="005718C9">
            <w:pPr>
              <w:pStyle w:val="TableText"/>
              <w:jc w:val="center"/>
            </w:pPr>
            <w:r>
              <w:t>5</w:t>
            </w:r>
          </w:p>
        </w:tc>
        <w:tc>
          <w:tcPr>
            <w:tcW w:w="1505" w:type="dxa"/>
            <w:tcBorders>
              <w:top w:val="single" w:sz="2" w:space="0" w:color="003366"/>
              <w:bottom w:val="single" w:sz="2" w:space="0" w:color="003366"/>
            </w:tcBorders>
            <w:noWrap/>
          </w:tcPr>
          <w:p w:rsidR="00DB0639" w:rsidRDefault="00DB0639" w:rsidP="00357B95">
            <w:pPr>
              <w:pStyle w:val="TableText"/>
              <w:jc w:val="center"/>
            </w:pPr>
            <w:r>
              <w:t>7,779</w:t>
            </w:r>
          </w:p>
        </w:tc>
        <w:tc>
          <w:tcPr>
            <w:tcW w:w="1505" w:type="dxa"/>
            <w:tcBorders>
              <w:top w:val="single" w:sz="2" w:space="0" w:color="003366"/>
              <w:bottom w:val="single" w:sz="2" w:space="0" w:color="003366"/>
            </w:tcBorders>
          </w:tcPr>
          <w:p w:rsidR="00DB0639" w:rsidRDefault="00DB0639" w:rsidP="005718C9">
            <w:pPr>
              <w:pStyle w:val="TableText"/>
              <w:jc w:val="center"/>
            </w:pPr>
            <w:r>
              <w:t>Y</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11</w:t>
            </w:r>
          </w:p>
        </w:tc>
        <w:tc>
          <w:tcPr>
            <w:tcW w:w="1585" w:type="dxa"/>
            <w:tcBorders>
              <w:top w:val="single" w:sz="2" w:space="0" w:color="003366"/>
              <w:bottom w:val="single" w:sz="2" w:space="0" w:color="003366"/>
            </w:tcBorders>
            <w:noWrap/>
          </w:tcPr>
          <w:p w:rsidR="00DB0639" w:rsidRDefault="00DB0639" w:rsidP="005718C9">
            <w:pPr>
              <w:pStyle w:val="TableText"/>
              <w:jc w:val="center"/>
            </w:pPr>
            <w:r>
              <w:t>1</w:t>
            </w:r>
          </w:p>
        </w:tc>
        <w:tc>
          <w:tcPr>
            <w:tcW w:w="1402" w:type="dxa"/>
            <w:tcBorders>
              <w:top w:val="single" w:sz="2" w:space="0" w:color="003366"/>
              <w:bottom w:val="single" w:sz="2" w:space="0" w:color="003366"/>
            </w:tcBorders>
            <w:noWrap/>
          </w:tcPr>
          <w:p w:rsidR="00DB0639" w:rsidRDefault="00B32A17" w:rsidP="005718C9">
            <w:pPr>
              <w:pStyle w:val="TableText"/>
              <w:jc w:val="center"/>
            </w:pPr>
            <w:r>
              <w:t>7</w:t>
            </w:r>
          </w:p>
        </w:tc>
        <w:tc>
          <w:tcPr>
            <w:tcW w:w="1505" w:type="dxa"/>
            <w:tcBorders>
              <w:top w:val="single" w:sz="2" w:space="0" w:color="003366"/>
              <w:bottom w:val="single" w:sz="2" w:space="0" w:color="003366"/>
            </w:tcBorders>
            <w:noWrap/>
          </w:tcPr>
          <w:p w:rsidR="00DB0639" w:rsidRDefault="00DB0639" w:rsidP="00357B95">
            <w:pPr>
              <w:pStyle w:val="TableText"/>
              <w:jc w:val="center"/>
            </w:pPr>
            <w:r>
              <w:t>989</w:t>
            </w:r>
          </w:p>
        </w:tc>
        <w:tc>
          <w:tcPr>
            <w:tcW w:w="1505" w:type="dxa"/>
            <w:tcBorders>
              <w:top w:val="single" w:sz="2" w:space="0" w:color="003366"/>
              <w:bottom w:val="single" w:sz="2" w:space="0" w:color="003366"/>
            </w:tcBorders>
          </w:tcPr>
          <w:p w:rsidR="00DB0639" w:rsidRDefault="00DB0639" w:rsidP="005718C9">
            <w:pPr>
              <w:pStyle w:val="TableText"/>
              <w:jc w:val="center"/>
            </w:pPr>
            <w:r>
              <w:t>N</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14</w:t>
            </w:r>
          </w:p>
        </w:tc>
        <w:tc>
          <w:tcPr>
            <w:tcW w:w="1585" w:type="dxa"/>
            <w:tcBorders>
              <w:top w:val="single" w:sz="2" w:space="0" w:color="003366"/>
              <w:bottom w:val="single" w:sz="2" w:space="0" w:color="003366"/>
            </w:tcBorders>
            <w:noWrap/>
          </w:tcPr>
          <w:p w:rsidR="00DB0639" w:rsidRDefault="00DB0639" w:rsidP="005718C9">
            <w:pPr>
              <w:pStyle w:val="TableText"/>
              <w:jc w:val="center"/>
            </w:pPr>
            <w:r>
              <w:t>3</w:t>
            </w:r>
          </w:p>
        </w:tc>
        <w:tc>
          <w:tcPr>
            <w:tcW w:w="1402" w:type="dxa"/>
            <w:tcBorders>
              <w:top w:val="single" w:sz="2" w:space="0" w:color="003366"/>
              <w:bottom w:val="single" w:sz="2" w:space="0" w:color="003366"/>
            </w:tcBorders>
            <w:noWrap/>
          </w:tcPr>
          <w:p w:rsidR="00DB0639" w:rsidRPr="00D55ABC" w:rsidRDefault="00C5565B" w:rsidP="005718C9">
            <w:pPr>
              <w:pStyle w:val="TableText"/>
              <w:jc w:val="center"/>
            </w:pPr>
            <w:r>
              <w:t>5-9</w:t>
            </w:r>
            <w:r w:rsidR="00357B95">
              <w:rPr>
                <w:vertAlign w:val="superscript"/>
              </w:rPr>
              <w:t>4</w:t>
            </w:r>
          </w:p>
        </w:tc>
        <w:tc>
          <w:tcPr>
            <w:tcW w:w="1505" w:type="dxa"/>
            <w:tcBorders>
              <w:top w:val="single" w:sz="2" w:space="0" w:color="003366"/>
              <w:bottom w:val="single" w:sz="2" w:space="0" w:color="003366"/>
            </w:tcBorders>
            <w:noWrap/>
          </w:tcPr>
          <w:p w:rsidR="00DB0639" w:rsidRDefault="00DB0639" w:rsidP="00357B95">
            <w:pPr>
              <w:pStyle w:val="TableText"/>
              <w:jc w:val="center"/>
            </w:pPr>
            <w:r>
              <w:t>7,855</w:t>
            </w:r>
          </w:p>
        </w:tc>
        <w:tc>
          <w:tcPr>
            <w:tcW w:w="1505" w:type="dxa"/>
            <w:tcBorders>
              <w:top w:val="single" w:sz="2" w:space="0" w:color="003366"/>
              <w:bottom w:val="single" w:sz="2" w:space="0" w:color="003366"/>
            </w:tcBorders>
          </w:tcPr>
          <w:p w:rsidR="00DB0639" w:rsidRDefault="00DB0639" w:rsidP="005718C9">
            <w:pPr>
              <w:pStyle w:val="TableText"/>
              <w:jc w:val="center"/>
            </w:pPr>
            <w:r>
              <w:t>Y</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16</w:t>
            </w:r>
          </w:p>
        </w:tc>
        <w:tc>
          <w:tcPr>
            <w:tcW w:w="1585" w:type="dxa"/>
            <w:tcBorders>
              <w:top w:val="single" w:sz="2" w:space="0" w:color="003366"/>
              <w:bottom w:val="single" w:sz="2" w:space="0" w:color="003366"/>
            </w:tcBorders>
            <w:noWrap/>
          </w:tcPr>
          <w:p w:rsidR="00DB0639" w:rsidRDefault="00DB0639" w:rsidP="005718C9">
            <w:pPr>
              <w:pStyle w:val="TableText"/>
              <w:jc w:val="center"/>
            </w:pPr>
            <w:r>
              <w:t>3</w:t>
            </w:r>
          </w:p>
        </w:tc>
        <w:tc>
          <w:tcPr>
            <w:tcW w:w="1402" w:type="dxa"/>
            <w:tcBorders>
              <w:top w:val="single" w:sz="2" w:space="0" w:color="003366"/>
              <w:bottom w:val="single" w:sz="2" w:space="0" w:color="003366"/>
            </w:tcBorders>
            <w:noWrap/>
          </w:tcPr>
          <w:p w:rsidR="00DB0639" w:rsidRDefault="00FE118C" w:rsidP="005718C9">
            <w:pPr>
              <w:pStyle w:val="TableText"/>
              <w:jc w:val="center"/>
            </w:pPr>
            <w:r>
              <w:t>8</w:t>
            </w:r>
          </w:p>
        </w:tc>
        <w:tc>
          <w:tcPr>
            <w:tcW w:w="1505" w:type="dxa"/>
            <w:tcBorders>
              <w:top w:val="single" w:sz="2" w:space="0" w:color="003366"/>
              <w:bottom w:val="single" w:sz="2" w:space="0" w:color="003366"/>
            </w:tcBorders>
            <w:noWrap/>
          </w:tcPr>
          <w:p w:rsidR="00DB0639" w:rsidRDefault="00DB0639" w:rsidP="00357B95">
            <w:pPr>
              <w:pStyle w:val="TableText"/>
              <w:jc w:val="center"/>
            </w:pPr>
            <w:r>
              <w:t>1,616</w:t>
            </w:r>
          </w:p>
        </w:tc>
        <w:tc>
          <w:tcPr>
            <w:tcW w:w="1505" w:type="dxa"/>
            <w:tcBorders>
              <w:top w:val="single" w:sz="2" w:space="0" w:color="003366"/>
              <w:bottom w:val="single" w:sz="2" w:space="0" w:color="003366"/>
            </w:tcBorders>
          </w:tcPr>
          <w:p w:rsidR="00DB0639" w:rsidRDefault="00DB0639" w:rsidP="005718C9">
            <w:pPr>
              <w:pStyle w:val="TableText"/>
              <w:jc w:val="center"/>
            </w:pPr>
            <w:r>
              <w:t>N</w:t>
            </w:r>
          </w:p>
        </w:tc>
      </w:tr>
      <w:tr w:rsidR="00DB0639" w:rsidTr="00DB0639">
        <w:trPr>
          <w:cantSplit/>
        </w:trPr>
        <w:tc>
          <w:tcPr>
            <w:tcW w:w="2015" w:type="dxa"/>
            <w:tcBorders>
              <w:top w:val="single" w:sz="2" w:space="0" w:color="003366"/>
              <w:bottom w:val="single" w:sz="2" w:space="0" w:color="003366"/>
            </w:tcBorders>
          </w:tcPr>
          <w:p w:rsidR="00DB0639" w:rsidRDefault="00DB0639" w:rsidP="005718C9">
            <w:pPr>
              <w:pStyle w:val="TableText"/>
            </w:pPr>
            <w:r>
              <w:t>Fire District 17</w:t>
            </w:r>
          </w:p>
        </w:tc>
        <w:tc>
          <w:tcPr>
            <w:tcW w:w="1585" w:type="dxa"/>
            <w:tcBorders>
              <w:top w:val="single" w:sz="2" w:space="0" w:color="003366"/>
              <w:bottom w:val="single" w:sz="2" w:space="0" w:color="003366"/>
            </w:tcBorders>
            <w:noWrap/>
          </w:tcPr>
          <w:p w:rsidR="00DB0639" w:rsidRDefault="00DB0639" w:rsidP="005718C9">
            <w:pPr>
              <w:pStyle w:val="TableText"/>
              <w:jc w:val="center"/>
            </w:pPr>
            <w:r>
              <w:t>2</w:t>
            </w:r>
          </w:p>
        </w:tc>
        <w:tc>
          <w:tcPr>
            <w:tcW w:w="1402" w:type="dxa"/>
            <w:tcBorders>
              <w:top w:val="single" w:sz="2" w:space="0" w:color="003366"/>
              <w:bottom w:val="single" w:sz="2" w:space="0" w:color="003366"/>
            </w:tcBorders>
            <w:noWrap/>
          </w:tcPr>
          <w:p w:rsidR="00DB0639" w:rsidRDefault="00AA3B73" w:rsidP="005718C9">
            <w:pPr>
              <w:pStyle w:val="TableText"/>
              <w:jc w:val="center"/>
            </w:pPr>
            <w:r>
              <w:t>5</w:t>
            </w:r>
          </w:p>
        </w:tc>
        <w:tc>
          <w:tcPr>
            <w:tcW w:w="1505" w:type="dxa"/>
            <w:tcBorders>
              <w:top w:val="single" w:sz="2" w:space="0" w:color="003366"/>
              <w:bottom w:val="single" w:sz="2" w:space="0" w:color="003366"/>
            </w:tcBorders>
            <w:noWrap/>
          </w:tcPr>
          <w:p w:rsidR="00DB0639" w:rsidRDefault="00DB0639" w:rsidP="00357B95">
            <w:pPr>
              <w:pStyle w:val="TableText"/>
              <w:jc w:val="center"/>
            </w:pPr>
            <w:r>
              <w:t>1,364</w:t>
            </w:r>
          </w:p>
        </w:tc>
        <w:tc>
          <w:tcPr>
            <w:tcW w:w="1505" w:type="dxa"/>
            <w:tcBorders>
              <w:top w:val="single" w:sz="2" w:space="0" w:color="003366"/>
              <w:bottom w:val="single" w:sz="2" w:space="0" w:color="003366"/>
            </w:tcBorders>
          </w:tcPr>
          <w:p w:rsidR="00DB0639" w:rsidRDefault="00DB0639" w:rsidP="005718C9">
            <w:pPr>
              <w:pStyle w:val="TableText"/>
              <w:jc w:val="center"/>
            </w:pPr>
            <w:r>
              <w:t>N</w:t>
            </w:r>
          </w:p>
        </w:tc>
      </w:tr>
      <w:tr w:rsidR="00DB0639" w:rsidTr="00DB0639">
        <w:trPr>
          <w:cantSplit/>
        </w:trPr>
        <w:tc>
          <w:tcPr>
            <w:tcW w:w="2015" w:type="dxa"/>
            <w:tcBorders>
              <w:top w:val="single" w:sz="2" w:space="0" w:color="003366"/>
            </w:tcBorders>
          </w:tcPr>
          <w:p w:rsidR="00DB0639" w:rsidRDefault="00DB0639" w:rsidP="005718C9">
            <w:pPr>
              <w:pStyle w:val="TableText"/>
            </w:pPr>
            <w:r>
              <w:t>Fire District 18</w:t>
            </w:r>
          </w:p>
        </w:tc>
        <w:tc>
          <w:tcPr>
            <w:tcW w:w="1585" w:type="dxa"/>
            <w:tcBorders>
              <w:top w:val="single" w:sz="2" w:space="0" w:color="003366"/>
            </w:tcBorders>
            <w:noWrap/>
          </w:tcPr>
          <w:p w:rsidR="00DB0639" w:rsidRDefault="00DB0639" w:rsidP="005718C9">
            <w:pPr>
              <w:pStyle w:val="TableText"/>
              <w:jc w:val="center"/>
            </w:pPr>
            <w:r>
              <w:t>2</w:t>
            </w:r>
          </w:p>
        </w:tc>
        <w:tc>
          <w:tcPr>
            <w:tcW w:w="1402" w:type="dxa"/>
            <w:tcBorders>
              <w:top w:val="single" w:sz="2" w:space="0" w:color="003366"/>
            </w:tcBorders>
            <w:noWrap/>
          </w:tcPr>
          <w:p w:rsidR="00DB0639" w:rsidRDefault="00FE118C" w:rsidP="005718C9">
            <w:pPr>
              <w:pStyle w:val="TableText"/>
              <w:jc w:val="center"/>
            </w:pPr>
            <w:r>
              <w:t>6</w:t>
            </w:r>
          </w:p>
        </w:tc>
        <w:tc>
          <w:tcPr>
            <w:tcW w:w="1505" w:type="dxa"/>
            <w:tcBorders>
              <w:top w:val="single" w:sz="2" w:space="0" w:color="003366"/>
            </w:tcBorders>
            <w:noWrap/>
          </w:tcPr>
          <w:p w:rsidR="00DB0639" w:rsidRDefault="00DB0639" w:rsidP="00357B95">
            <w:pPr>
              <w:pStyle w:val="TableText"/>
              <w:jc w:val="center"/>
            </w:pPr>
            <w:r>
              <w:t>2,132</w:t>
            </w:r>
          </w:p>
        </w:tc>
        <w:tc>
          <w:tcPr>
            <w:tcW w:w="1505" w:type="dxa"/>
            <w:tcBorders>
              <w:top w:val="single" w:sz="2" w:space="0" w:color="003366"/>
            </w:tcBorders>
          </w:tcPr>
          <w:p w:rsidR="00DB0639" w:rsidRDefault="00DB0639" w:rsidP="005718C9">
            <w:pPr>
              <w:pStyle w:val="TableText"/>
              <w:jc w:val="center"/>
            </w:pPr>
            <w:r>
              <w:t>N</w:t>
            </w:r>
          </w:p>
        </w:tc>
      </w:tr>
      <w:tr w:rsidR="00DB0639" w:rsidTr="00DB0639">
        <w:trPr>
          <w:cantSplit/>
        </w:trPr>
        <w:tc>
          <w:tcPr>
            <w:tcW w:w="2015" w:type="dxa"/>
          </w:tcPr>
          <w:p w:rsidR="00DB0639" w:rsidRDefault="00DB0639" w:rsidP="005718C9">
            <w:pPr>
              <w:pStyle w:val="TableText"/>
            </w:pPr>
            <w:r>
              <w:t>Glacier Fire District 19</w:t>
            </w:r>
          </w:p>
        </w:tc>
        <w:tc>
          <w:tcPr>
            <w:tcW w:w="1585" w:type="dxa"/>
            <w:noWrap/>
          </w:tcPr>
          <w:p w:rsidR="00DB0639" w:rsidRDefault="00DB0639" w:rsidP="005718C9">
            <w:pPr>
              <w:pStyle w:val="TableText"/>
              <w:jc w:val="center"/>
            </w:pPr>
            <w:r>
              <w:t>1</w:t>
            </w:r>
          </w:p>
        </w:tc>
        <w:tc>
          <w:tcPr>
            <w:tcW w:w="1402" w:type="dxa"/>
            <w:noWrap/>
          </w:tcPr>
          <w:p w:rsidR="00DB0639" w:rsidRDefault="00DB0639" w:rsidP="005718C9">
            <w:pPr>
              <w:pStyle w:val="TableText"/>
              <w:jc w:val="center"/>
            </w:pPr>
            <w:r>
              <w:t>7</w:t>
            </w:r>
          </w:p>
        </w:tc>
        <w:tc>
          <w:tcPr>
            <w:tcW w:w="1505" w:type="dxa"/>
            <w:noWrap/>
          </w:tcPr>
          <w:p w:rsidR="00DB0639" w:rsidRDefault="00DB0639" w:rsidP="000F061A">
            <w:pPr>
              <w:pStyle w:val="TableText"/>
              <w:jc w:val="center"/>
            </w:pPr>
            <w:r>
              <w:t>425</w:t>
            </w:r>
          </w:p>
        </w:tc>
        <w:tc>
          <w:tcPr>
            <w:tcW w:w="1505" w:type="dxa"/>
          </w:tcPr>
          <w:p w:rsidR="00DB0639" w:rsidRDefault="00357B95" w:rsidP="005718C9">
            <w:pPr>
              <w:pStyle w:val="TableText"/>
              <w:jc w:val="center"/>
            </w:pPr>
            <w:r>
              <w:t>N</w:t>
            </w:r>
          </w:p>
        </w:tc>
      </w:tr>
      <w:tr w:rsidR="00DB0639" w:rsidTr="00DB0639">
        <w:trPr>
          <w:cantSplit/>
        </w:trPr>
        <w:tc>
          <w:tcPr>
            <w:tcW w:w="2015" w:type="dxa"/>
          </w:tcPr>
          <w:p w:rsidR="00DB0639" w:rsidRDefault="00DB0639" w:rsidP="005718C9">
            <w:pPr>
              <w:pStyle w:val="TableText"/>
            </w:pPr>
            <w:r>
              <w:t>North Whatcom Fire &amp; Rescue and Fire District 4</w:t>
            </w:r>
          </w:p>
        </w:tc>
        <w:tc>
          <w:tcPr>
            <w:tcW w:w="1585" w:type="dxa"/>
            <w:noWrap/>
          </w:tcPr>
          <w:p w:rsidR="00DB0639" w:rsidRDefault="00DB0639" w:rsidP="005718C9">
            <w:pPr>
              <w:pStyle w:val="TableText"/>
              <w:jc w:val="center"/>
            </w:pPr>
            <w:r>
              <w:t>11</w:t>
            </w:r>
          </w:p>
        </w:tc>
        <w:tc>
          <w:tcPr>
            <w:tcW w:w="1402" w:type="dxa"/>
            <w:noWrap/>
          </w:tcPr>
          <w:p w:rsidR="00DB0639" w:rsidRDefault="00DB0639" w:rsidP="00DB0639">
            <w:pPr>
              <w:pStyle w:val="TableText"/>
              <w:jc w:val="center"/>
            </w:pPr>
            <w:r>
              <w:t>4/5</w:t>
            </w:r>
          </w:p>
        </w:tc>
        <w:tc>
          <w:tcPr>
            <w:tcW w:w="1505" w:type="dxa"/>
            <w:noWrap/>
          </w:tcPr>
          <w:p w:rsidR="00DB0639" w:rsidRDefault="00DB0639" w:rsidP="000F061A">
            <w:pPr>
              <w:pStyle w:val="TableText"/>
              <w:jc w:val="center"/>
            </w:pPr>
            <w:r>
              <w:t>40,750</w:t>
            </w:r>
          </w:p>
        </w:tc>
        <w:tc>
          <w:tcPr>
            <w:tcW w:w="1505" w:type="dxa"/>
          </w:tcPr>
          <w:p w:rsidR="00DB0639" w:rsidRDefault="00DB0639" w:rsidP="005718C9">
            <w:pPr>
              <w:pStyle w:val="TableText"/>
              <w:jc w:val="center"/>
            </w:pPr>
            <w:r>
              <w:t>Y</w:t>
            </w:r>
          </w:p>
        </w:tc>
      </w:tr>
      <w:tr w:rsidR="00DB0639" w:rsidTr="00DB0639">
        <w:trPr>
          <w:cantSplit/>
        </w:trPr>
        <w:tc>
          <w:tcPr>
            <w:tcW w:w="2015" w:type="dxa"/>
          </w:tcPr>
          <w:p w:rsidR="00DB0639" w:rsidRDefault="00DB0639" w:rsidP="005718C9">
            <w:pPr>
              <w:pStyle w:val="TableText"/>
            </w:pPr>
            <w:r>
              <w:t>South Whatcom Fire Authority</w:t>
            </w:r>
          </w:p>
        </w:tc>
        <w:tc>
          <w:tcPr>
            <w:tcW w:w="1585" w:type="dxa"/>
            <w:noWrap/>
          </w:tcPr>
          <w:p w:rsidR="00DB0639" w:rsidRDefault="00FE118C" w:rsidP="005718C9">
            <w:pPr>
              <w:pStyle w:val="TableText"/>
              <w:jc w:val="center"/>
            </w:pPr>
            <w:r>
              <w:t>5</w:t>
            </w:r>
          </w:p>
        </w:tc>
        <w:tc>
          <w:tcPr>
            <w:tcW w:w="1402" w:type="dxa"/>
            <w:noWrap/>
          </w:tcPr>
          <w:p w:rsidR="00DB0639" w:rsidRDefault="00FE118C" w:rsidP="005718C9">
            <w:pPr>
              <w:pStyle w:val="TableText"/>
              <w:jc w:val="center"/>
            </w:pPr>
            <w:r>
              <w:t>5</w:t>
            </w:r>
          </w:p>
        </w:tc>
        <w:tc>
          <w:tcPr>
            <w:tcW w:w="1505" w:type="dxa"/>
            <w:noWrap/>
          </w:tcPr>
          <w:p w:rsidR="00DB0639" w:rsidRDefault="00FE118C" w:rsidP="00357B95">
            <w:pPr>
              <w:pStyle w:val="TableText"/>
              <w:jc w:val="center"/>
            </w:pPr>
            <w:r>
              <w:t>12,7</w:t>
            </w:r>
            <w:r w:rsidR="00DB0639">
              <w:t>82</w:t>
            </w:r>
          </w:p>
        </w:tc>
        <w:tc>
          <w:tcPr>
            <w:tcW w:w="1505" w:type="dxa"/>
          </w:tcPr>
          <w:p w:rsidR="00DB0639" w:rsidRDefault="00DB0639" w:rsidP="005718C9">
            <w:pPr>
              <w:pStyle w:val="TableText"/>
              <w:jc w:val="center"/>
            </w:pPr>
            <w:r>
              <w:t>Y</w:t>
            </w:r>
          </w:p>
        </w:tc>
      </w:tr>
    </w:tbl>
    <w:p w:rsidR="00D872F0" w:rsidRDefault="00D872F0" w:rsidP="00357B95">
      <w:pPr>
        <w:pStyle w:val="TableNotes"/>
        <w:spacing w:before="40" w:after="40"/>
        <w:ind w:left="360" w:right="-450" w:hanging="360"/>
      </w:pPr>
    </w:p>
    <w:p w:rsidR="00A2170E" w:rsidRDefault="00A2170E" w:rsidP="00357B95">
      <w:pPr>
        <w:pStyle w:val="TableNotes"/>
        <w:spacing w:before="40" w:after="40"/>
        <w:ind w:left="360" w:right="-450" w:hanging="360"/>
      </w:pPr>
      <w:r>
        <w:t>1</w:t>
      </w:r>
      <w:r>
        <w:tab/>
        <w:t xml:space="preserve">Fire rating is based upon the </w:t>
      </w:r>
      <w:r w:rsidR="00FE118C">
        <w:t>Washington Surveying and Rating</w:t>
      </w:r>
      <w:r w:rsidR="00D872F0">
        <w:t xml:space="preserve"> Bureau (WSRB). </w:t>
      </w:r>
    </w:p>
    <w:p w:rsidR="00A2170E" w:rsidRDefault="00357B95" w:rsidP="00FE118C">
      <w:pPr>
        <w:pStyle w:val="TableNotes"/>
        <w:spacing w:before="40" w:after="40"/>
        <w:ind w:left="360" w:right="-450" w:hanging="360"/>
      </w:pPr>
      <w:r>
        <w:t>2</w:t>
      </w:r>
      <w:r w:rsidR="002A79A7">
        <w:tab/>
        <w:t>One</w:t>
      </w:r>
      <w:r w:rsidR="00FE118C">
        <w:t xml:space="preserve"> of the 7</w:t>
      </w:r>
      <w:r w:rsidR="002A79A7">
        <w:t xml:space="preserve"> stations is a</w:t>
      </w:r>
      <w:r w:rsidR="00A2170E">
        <w:t xml:space="preserve"> medic stati</w:t>
      </w:r>
      <w:r w:rsidR="002A79A7">
        <w:t>on</w:t>
      </w:r>
      <w:r w:rsidR="00A2170E">
        <w:t xml:space="preserve"> that serve</w:t>
      </w:r>
      <w:r w:rsidR="002A79A7">
        <w:t>s</w:t>
      </w:r>
      <w:r w:rsidR="00A2170E">
        <w:t xml:space="preserve"> unincorporated areas of the County. </w:t>
      </w:r>
    </w:p>
    <w:p w:rsidR="00A2170E" w:rsidRDefault="00357B95" w:rsidP="00A2170E">
      <w:pPr>
        <w:pStyle w:val="TableNotes"/>
        <w:spacing w:before="40" w:after="40"/>
        <w:ind w:left="360" w:right="-450" w:hanging="360"/>
      </w:pPr>
      <w:r>
        <w:t>3</w:t>
      </w:r>
      <w:r w:rsidR="00A2170E">
        <w:tab/>
        <w:t>Fire rating for Cherry Point is 6 and fire rating f</w:t>
      </w:r>
      <w:r>
        <w:t>or Ferndale is 5.</w:t>
      </w:r>
    </w:p>
    <w:p w:rsidR="00A2170E" w:rsidRDefault="00357B95" w:rsidP="00A2170E">
      <w:pPr>
        <w:pStyle w:val="TableNotes"/>
        <w:spacing w:before="40" w:after="40"/>
        <w:ind w:left="360" w:right="-450" w:hanging="360"/>
      </w:pPr>
      <w:r>
        <w:t>4</w:t>
      </w:r>
      <w:r w:rsidR="00A2170E">
        <w:tab/>
        <w:t>The WSRB ratings var</w:t>
      </w:r>
      <w:r w:rsidR="00C5565B">
        <w:t>y within Fire District 14 from 5</w:t>
      </w:r>
      <w:r w:rsidR="001375A8">
        <w:t xml:space="preserve"> </w:t>
      </w:r>
      <w:r w:rsidR="00C5565B">
        <w:t>(in Sumas) to 9</w:t>
      </w:r>
      <w:r w:rsidR="00A2170E">
        <w:t xml:space="preserve"> (in outlying areas), depending on location and type of structure. </w:t>
      </w:r>
    </w:p>
    <w:p w:rsidR="00A2170E" w:rsidRDefault="00A2170E" w:rsidP="00A2170E">
      <w:pPr>
        <w:pStyle w:val="TableNotes"/>
        <w:spacing w:before="40" w:after="40"/>
        <w:ind w:left="360" w:right="-450" w:hanging="360"/>
      </w:pPr>
    </w:p>
    <w:p w:rsidR="00A2170E" w:rsidRDefault="00A2170E" w:rsidP="00A2170E">
      <w:pPr>
        <w:pStyle w:val="TableNotes"/>
        <w:spacing w:before="40" w:after="40"/>
        <w:ind w:left="360" w:right="-450" w:hanging="360"/>
        <w:rPr>
          <w:rFonts w:ascii="Times New Roman" w:hAnsi="Times New Roman" w:cs="Times New Roman"/>
          <w:sz w:val="22"/>
          <w:szCs w:val="22"/>
        </w:rPr>
      </w:pPr>
    </w:p>
    <w:p w:rsidR="00512379" w:rsidRDefault="00512379" w:rsidP="00A2170E">
      <w:pPr>
        <w:pStyle w:val="TableNotes"/>
        <w:spacing w:before="40" w:after="40"/>
        <w:ind w:left="360" w:right="-450" w:hanging="360"/>
        <w:rPr>
          <w:rFonts w:ascii="Times New Roman" w:hAnsi="Times New Roman" w:cs="Times New Roman"/>
          <w:sz w:val="22"/>
          <w:szCs w:val="22"/>
        </w:rPr>
      </w:pPr>
    </w:p>
    <w:p w:rsidR="007E2047" w:rsidRDefault="007E2047" w:rsidP="00A2170E">
      <w:pPr>
        <w:pStyle w:val="TableNotes"/>
        <w:spacing w:before="40" w:after="40"/>
        <w:ind w:left="360" w:right="-450" w:hanging="360"/>
        <w:rPr>
          <w:rFonts w:ascii="Times New Roman" w:hAnsi="Times New Roman" w:cs="Times New Roman"/>
          <w:sz w:val="22"/>
          <w:szCs w:val="22"/>
        </w:rPr>
      </w:pPr>
    </w:p>
    <w:p w:rsidR="007E2047" w:rsidRPr="00512379" w:rsidRDefault="007E2047" w:rsidP="001D1F34">
      <w:pPr>
        <w:pStyle w:val="TableNotes"/>
        <w:spacing w:before="40" w:after="40"/>
        <w:ind w:right="-450"/>
        <w:rPr>
          <w:rFonts w:ascii="Times New Roman" w:hAnsi="Times New Roman" w:cs="Times New Roman"/>
          <w:sz w:val="22"/>
          <w:szCs w:val="22"/>
        </w:rPr>
      </w:pPr>
    </w:p>
    <w:p w:rsidR="00A2170E" w:rsidRDefault="00AF0F94" w:rsidP="00A2170E">
      <w:pPr>
        <w:pStyle w:val="Heading3"/>
      </w:pPr>
      <w:r>
        <w:lastRenderedPageBreak/>
        <w:t>Future Needs</w:t>
      </w:r>
    </w:p>
    <w:p w:rsidR="00A2170E" w:rsidRPr="007E2047" w:rsidRDefault="00A2170E" w:rsidP="007E2047">
      <w:pPr>
        <w:pStyle w:val="BodyText"/>
      </w:pPr>
      <w:r>
        <w:t xml:space="preserve">Whatcom County adopted a </w:t>
      </w:r>
      <w:r w:rsidR="007E2047">
        <w:t>level of service (</w:t>
      </w:r>
      <w:r>
        <w:t>LOS</w:t>
      </w:r>
      <w:r w:rsidR="007E2047">
        <w:t>)</w:t>
      </w:r>
      <w:r>
        <w:t xml:space="preserve"> standard tied to response time and fire ratings </w:t>
      </w:r>
      <w:r w:rsidR="003D32D3">
        <w:t xml:space="preserve">in the Comprehensive Plan </w:t>
      </w:r>
      <w:r w:rsidR="007E2047">
        <w:t xml:space="preserve">in 2011. The </w:t>
      </w:r>
      <w:r w:rsidRPr="007E2047">
        <w:rPr>
          <w:szCs w:val="22"/>
        </w:rPr>
        <w:t xml:space="preserve">Whatcom County </w:t>
      </w:r>
      <w:r w:rsidR="007E2047">
        <w:rPr>
          <w:szCs w:val="22"/>
        </w:rPr>
        <w:t xml:space="preserve">Comprehensive Plan contains the following </w:t>
      </w:r>
      <w:r w:rsidR="00C0692B" w:rsidRPr="007E2047">
        <w:rPr>
          <w:szCs w:val="22"/>
        </w:rPr>
        <w:t xml:space="preserve">LOS </w:t>
      </w:r>
      <w:r w:rsidRPr="007E2047">
        <w:rPr>
          <w:szCs w:val="22"/>
        </w:rPr>
        <w:t>standards:</w:t>
      </w:r>
    </w:p>
    <w:p w:rsidR="00A2170E" w:rsidRDefault="00A2170E" w:rsidP="00AA7EBE">
      <w:pPr>
        <w:spacing w:line="276" w:lineRule="auto"/>
        <w:ind w:left="720"/>
      </w:pPr>
      <w:r>
        <w:t xml:space="preserve">Urban levels of service for fire protection shall be a response time of 8 minutes 80% of the time when the department covering the urban area has staffed the fire station. When the fire station is not staffed the response time shall be 10 minutes 80% of the time, or a WSRB Rating of a 6. </w:t>
      </w:r>
    </w:p>
    <w:p w:rsidR="00A2170E" w:rsidRDefault="00A2170E" w:rsidP="00AA7EBE">
      <w:pPr>
        <w:spacing w:line="276" w:lineRule="auto"/>
        <w:ind w:left="720"/>
      </w:pPr>
      <w:r>
        <w:t xml:space="preserve">Rural levels of service for fire protection shall be a response time of 12 minutes 80% of the time when the department covering the rural area has staffed the fire station. When the fire station is not staffed the response time shall be 14 minutes 80% of the time, or a WSRB Rating of an 8. </w:t>
      </w:r>
    </w:p>
    <w:p w:rsidR="00A2170E" w:rsidRDefault="00A2170E" w:rsidP="00AA7EBE">
      <w:pPr>
        <w:pStyle w:val="BodyText"/>
        <w:spacing w:line="276" w:lineRule="auto"/>
        <w:ind w:left="720"/>
      </w:pPr>
      <w:r>
        <w:t>Staffed stations shall be a fire station that is staffed 24 hours a day 7 days a week 365 days a year. Staff may be paid, volunteer, or combination of the two.</w:t>
      </w:r>
    </w:p>
    <w:p w:rsidR="00C0692B" w:rsidRDefault="007E2047" w:rsidP="007E2047">
      <w:pPr>
        <w:pStyle w:val="BodyText"/>
      </w:pPr>
      <w:r w:rsidRPr="007E2047">
        <w:t xml:space="preserve">Fire district capital facility plans submitted in 2011 or later will be reviewed against the new county-wide LOS standards. Whatcom County will consider </w:t>
      </w:r>
      <w:r>
        <w:t>incorporating</w:t>
      </w:r>
      <w:r w:rsidRPr="007E2047">
        <w:t xml:space="preserve"> </w:t>
      </w:r>
      <w:r>
        <w:t xml:space="preserve">information from </w:t>
      </w:r>
      <w:r w:rsidRPr="007E2047">
        <w:t>fire district capi</w:t>
      </w:r>
      <w:r>
        <w:t xml:space="preserve">tal facility plans </w:t>
      </w:r>
      <w:r w:rsidRPr="007E2047">
        <w:t>into the Whatcom County Comprehensive Plan, as they are approved by the districts.</w:t>
      </w:r>
    </w:p>
    <w:p w:rsidR="00DB0639" w:rsidRDefault="00DB0639" w:rsidP="00A2170E">
      <w:pPr>
        <w:pStyle w:val="BodyText"/>
      </w:pPr>
    </w:p>
    <w:p w:rsidR="00DB0639" w:rsidRDefault="00DB0639" w:rsidP="00A2170E">
      <w:pPr>
        <w:pStyle w:val="BodyText"/>
      </w:pPr>
    </w:p>
    <w:p w:rsidR="00DB0639" w:rsidRDefault="00DB0639" w:rsidP="00A2170E">
      <w:pPr>
        <w:pStyle w:val="BodyText"/>
      </w:pPr>
    </w:p>
    <w:p w:rsidR="00512379" w:rsidRDefault="00512379" w:rsidP="00A2170E">
      <w:pPr>
        <w:pStyle w:val="BodyText"/>
      </w:pPr>
    </w:p>
    <w:p w:rsidR="00512379" w:rsidRDefault="00512379" w:rsidP="00A2170E">
      <w:pPr>
        <w:pStyle w:val="BodyText"/>
      </w:pPr>
    </w:p>
    <w:p w:rsidR="00512379" w:rsidRDefault="00512379" w:rsidP="00A2170E">
      <w:pPr>
        <w:pStyle w:val="BodyText"/>
      </w:pPr>
    </w:p>
    <w:p w:rsidR="00512379" w:rsidRDefault="00512379" w:rsidP="00A2170E">
      <w:pPr>
        <w:pStyle w:val="BodyText"/>
      </w:pPr>
    </w:p>
    <w:p w:rsidR="00512379" w:rsidRDefault="00512379" w:rsidP="00A2170E">
      <w:pPr>
        <w:pStyle w:val="BodyText"/>
      </w:pPr>
    </w:p>
    <w:p w:rsidR="007E2047" w:rsidRDefault="007E2047" w:rsidP="00A2170E">
      <w:pPr>
        <w:pStyle w:val="BodyText"/>
      </w:pPr>
    </w:p>
    <w:p w:rsidR="00512379" w:rsidRDefault="00512379" w:rsidP="00A2170E">
      <w:pPr>
        <w:pStyle w:val="BodyText"/>
      </w:pPr>
    </w:p>
    <w:p w:rsidR="00FE118C" w:rsidRDefault="00FE118C" w:rsidP="00A2170E">
      <w:pPr>
        <w:pStyle w:val="BodyText"/>
      </w:pPr>
    </w:p>
    <w:p w:rsidR="00FE118C" w:rsidRDefault="00FE118C" w:rsidP="00A2170E">
      <w:pPr>
        <w:pStyle w:val="BodyText"/>
      </w:pPr>
    </w:p>
    <w:p w:rsidR="00A2170E" w:rsidRDefault="0016410F" w:rsidP="00A2170E">
      <w:pPr>
        <w:pStyle w:val="TableTitle"/>
        <w:rPr>
          <w:vertAlign w:val="superscript"/>
        </w:rPr>
      </w:pPr>
      <w:r>
        <w:lastRenderedPageBreak/>
        <w:t>Table 14.2</w:t>
      </w:r>
      <w:r>
        <w:tab/>
      </w:r>
      <w:r w:rsidR="00C0692B">
        <w:t>LOS</w:t>
      </w:r>
      <w:r w:rsidR="00A2170E">
        <w:t xml:space="preserve"> Anal</w:t>
      </w:r>
      <w:r w:rsidR="00C0692B">
        <w:t>ysis</w:t>
      </w:r>
      <w:r w:rsidR="00B31042">
        <w:t xml:space="preserve"> </w:t>
      </w:r>
      <w:r w:rsidR="00B31042" w:rsidRPr="003F4BD3">
        <w:t xml:space="preserve">– </w:t>
      </w:r>
      <w:r w:rsidR="003F4BD3" w:rsidRPr="003F4BD3">
        <w:t>Fire Departments and Fire Districts Serving UGAs</w:t>
      </w:r>
      <w:r w:rsidR="00512379" w:rsidRPr="003C1F84">
        <w:rPr>
          <w:vertAlign w:val="superscript"/>
        </w:rPr>
        <w:t>1</w:t>
      </w:r>
    </w:p>
    <w:tbl>
      <w:tblPr>
        <w:tblW w:w="9653" w:type="dxa"/>
        <w:tblInd w:w="115" w:type="dxa"/>
        <w:tblLook w:val="04A0" w:firstRow="1" w:lastRow="0" w:firstColumn="1" w:lastColumn="0" w:noHBand="0" w:noVBand="1"/>
      </w:tblPr>
      <w:tblGrid>
        <w:gridCol w:w="1437"/>
        <w:gridCol w:w="1526"/>
        <w:gridCol w:w="2160"/>
        <w:gridCol w:w="2700"/>
        <w:gridCol w:w="270"/>
        <w:gridCol w:w="1560"/>
      </w:tblGrid>
      <w:tr w:rsidR="00A2170E" w:rsidTr="00AC507C">
        <w:trPr>
          <w:cantSplit/>
          <w:trHeight w:val="530"/>
          <w:tblHeader/>
        </w:trPr>
        <w:tc>
          <w:tcPr>
            <w:tcW w:w="1437"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r>
              <w:rPr>
                <w:sz w:val="18"/>
                <w:szCs w:val="18"/>
              </w:rPr>
              <w:t>Fire District</w:t>
            </w:r>
          </w:p>
        </w:tc>
        <w:tc>
          <w:tcPr>
            <w:tcW w:w="1526"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p>
        </w:tc>
        <w:tc>
          <w:tcPr>
            <w:tcW w:w="2160"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r>
              <w:rPr>
                <w:sz w:val="18"/>
                <w:szCs w:val="18"/>
              </w:rPr>
              <w:t xml:space="preserve">WSRB Rating </w:t>
            </w:r>
          </w:p>
          <w:p w:rsidR="00A2170E" w:rsidRDefault="00A2170E" w:rsidP="005718C9">
            <w:pPr>
              <w:pStyle w:val="TableHeader"/>
              <w:rPr>
                <w:sz w:val="18"/>
                <w:szCs w:val="18"/>
              </w:rPr>
            </w:pPr>
            <w:r>
              <w:rPr>
                <w:sz w:val="18"/>
                <w:szCs w:val="18"/>
              </w:rPr>
              <w:t>Standard</w:t>
            </w:r>
          </w:p>
        </w:tc>
        <w:tc>
          <w:tcPr>
            <w:tcW w:w="2700"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r>
              <w:rPr>
                <w:sz w:val="18"/>
                <w:szCs w:val="18"/>
              </w:rPr>
              <w:t xml:space="preserve">Response Time </w:t>
            </w:r>
          </w:p>
          <w:p w:rsidR="00A2170E" w:rsidRDefault="00A2170E" w:rsidP="005718C9">
            <w:pPr>
              <w:pStyle w:val="TableHeader"/>
              <w:rPr>
                <w:sz w:val="18"/>
                <w:szCs w:val="18"/>
              </w:rPr>
            </w:pPr>
            <w:r>
              <w:rPr>
                <w:sz w:val="18"/>
                <w:szCs w:val="18"/>
              </w:rPr>
              <w:t xml:space="preserve">Standard </w:t>
            </w:r>
          </w:p>
        </w:tc>
        <w:tc>
          <w:tcPr>
            <w:tcW w:w="270"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p>
        </w:tc>
        <w:tc>
          <w:tcPr>
            <w:tcW w:w="1560" w:type="dxa"/>
            <w:tcBorders>
              <w:top w:val="single" w:sz="4" w:space="0" w:color="auto"/>
              <w:left w:val="nil"/>
              <w:bottom w:val="single" w:sz="4" w:space="0" w:color="auto"/>
              <w:right w:val="nil"/>
            </w:tcBorders>
            <w:shd w:val="clear" w:color="auto" w:fill="D9D9D9" w:themeFill="background1" w:themeFillShade="D9"/>
            <w:vAlign w:val="bottom"/>
            <w:hideMark/>
          </w:tcPr>
          <w:p w:rsidR="00A2170E" w:rsidRDefault="00A2170E" w:rsidP="005718C9">
            <w:pPr>
              <w:pStyle w:val="TableHeader"/>
              <w:rPr>
                <w:sz w:val="18"/>
                <w:szCs w:val="18"/>
              </w:rPr>
            </w:pPr>
            <w:r>
              <w:rPr>
                <w:sz w:val="18"/>
                <w:szCs w:val="18"/>
              </w:rPr>
              <w:t xml:space="preserve">Meets </w:t>
            </w:r>
          </w:p>
          <w:p w:rsidR="00A2170E" w:rsidRDefault="00A2170E" w:rsidP="005718C9">
            <w:pPr>
              <w:pStyle w:val="TableHeader"/>
              <w:rPr>
                <w:sz w:val="18"/>
                <w:szCs w:val="18"/>
              </w:rPr>
            </w:pPr>
            <w:r>
              <w:rPr>
                <w:sz w:val="18"/>
                <w:szCs w:val="18"/>
              </w:rPr>
              <w:t>Adopted LOS?</w:t>
            </w:r>
          </w:p>
        </w:tc>
      </w:tr>
      <w:tr w:rsidR="00AC507C" w:rsidTr="00AC507C">
        <w:trPr>
          <w:trHeight w:val="818"/>
        </w:trPr>
        <w:tc>
          <w:tcPr>
            <w:tcW w:w="1437" w:type="dxa"/>
            <w:tcBorders>
              <w:top w:val="single" w:sz="4" w:space="0" w:color="auto"/>
              <w:left w:val="nil"/>
              <w:bottom w:val="single" w:sz="4" w:space="0" w:color="auto"/>
              <w:right w:val="nil"/>
            </w:tcBorders>
          </w:tcPr>
          <w:p w:rsidR="00AC507C" w:rsidRDefault="00AC507C" w:rsidP="005718C9">
            <w:pPr>
              <w:pStyle w:val="TableText"/>
            </w:pPr>
            <w:r>
              <w:t>City of Bellingham Fire Department</w:t>
            </w:r>
          </w:p>
        </w:tc>
        <w:tc>
          <w:tcPr>
            <w:tcW w:w="1526" w:type="dxa"/>
            <w:tcBorders>
              <w:top w:val="single" w:sz="4" w:space="0" w:color="auto"/>
              <w:left w:val="nil"/>
              <w:bottom w:val="single" w:sz="4" w:space="0" w:color="auto"/>
              <w:right w:val="nil"/>
            </w:tcBorders>
          </w:tcPr>
          <w:p w:rsidR="00AC507C" w:rsidRDefault="00AC507C" w:rsidP="005718C9">
            <w:pPr>
              <w:pStyle w:val="TableText"/>
              <w:jc w:val="center"/>
            </w:pPr>
          </w:p>
        </w:tc>
        <w:tc>
          <w:tcPr>
            <w:tcW w:w="2160" w:type="dxa"/>
            <w:tcBorders>
              <w:top w:val="single" w:sz="4" w:space="0" w:color="auto"/>
              <w:left w:val="nil"/>
              <w:bottom w:val="single" w:sz="4" w:space="0" w:color="auto"/>
              <w:right w:val="nil"/>
            </w:tcBorders>
          </w:tcPr>
          <w:p w:rsidR="00AC507C" w:rsidRDefault="00AC507C" w:rsidP="003D32D3">
            <w:pPr>
              <w:pStyle w:val="TableText"/>
              <w:jc w:val="center"/>
            </w:pPr>
          </w:p>
        </w:tc>
        <w:tc>
          <w:tcPr>
            <w:tcW w:w="2700" w:type="dxa"/>
            <w:tcBorders>
              <w:top w:val="single" w:sz="4" w:space="0" w:color="auto"/>
              <w:left w:val="nil"/>
              <w:bottom w:val="single" w:sz="4" w:space="0" w:color="auto"/>
              <w:right w:val="nil"/>
            </w:tcBorders>
          </w:tcPr>
          <w:p w:rsidR="00AC507C" w:rsidRDefault="00AC507C" w:rsidP="00AC507C">
            <w:pPr>
              <w:pStyle w:val="TableText"/>
              <w:jc w:val="center"/>
            </w:pPr>
            <w:r>
              <w:t>8 minute</w:t>
            </w:r>
            <w:r w:rsidR="00C019B0">
              <w:t>s 80% of the time for the Bellingham</w:t>
            </w:r>
            <w:r>
              <w:t xml:space="preserve"> UGA </w:t>
            </w:r>
          </w:p>
        </w:tc>
        <w:tc>
          <w:tcPr>
            <w:tcW w:w="270" w:type="dxa"/>
            <w:tcBorders>
              <w:top w:val="single" w:sz="4" w:space="0" w:color="auto"/>
              <w:left w:val="nil"/>
              <w:bottom w:val="single" w:sz="4" w:space="0" w:color="auto"/>
              <w:right w:val="nil"/>
            </w:tcBorders>
          </w:tcPr>
          <w:p w:rsidR="00AC507C" w:rsidRDefault="00AC507C" w:rsidP="005718C9">
            <w:pPr>
              <w:pStyle w:val="TableText"/>
              <w:jc w:val="center"/>
            </w:pPr>
          </w:p>
        </w:tc>
        <w:tc>
          <w:tcPr>
            <w:tcW w:w="1560" w:type="dxa"/>
            <w:tcBorders>
              <w:top w:val="single" w:sz="4" w:space="0" w:color="auto"/>
              <w:left w:val="nil"/>
              <w:bottom w:val="single" w:sz="4" w:space="0" w:color="auto"/>
              <w:right w:val="nil"/>
            </w:tcBorders>
          </w:tcPr>
          <w:p w:rsidR="00AC507C" w:rsidRDefault="00AC507C" w:rsidP="005718C9">
            <w:pPr>
              <w:pStyle w:val="TableText"/>
              <w:jc w:val="center"/>
            </w:pPr>
            <w:r>
              <w:t>Yes</w:t>
            </w:r>
            <w:r>
              <w:rPr>
                <w:vertAlign w:val="superscript"/>
              </w:rPr>
              <w:t>2</w:t>
            </w:r>
          </w:p>
        </w:tc>
      </w:tr>
      <w:tr w:rsidR="00AC507C" w:rsidTr="00AC507C">
        <w:trPr>
          <w:trHeight w:val="818"/>
        </w:trPr>
        <w:tc>
          <w:tcPr>
            <w:tcW w:w="1437" w:type="dxa"/>
            <w:tcBorders>
              <w:top w:val="single" w:sz="4" w:space="0" w:color="auto"/>
              <w:left w:val="nil"/>
              <w:bottom w:val="single" w:sz="4" w:space="0" w:color="auto"/>
              <w:right w:val="nil"/>
            </w:tcBorders>
          </w:tcPr>
          <w:p w:rsidR="00AC507C" w:rsidRPr="00C019B0" w:rsidRDefault="00AC507C" w:rsidP="005718C9">
            <w:pPr>
              <w:pStyle w:val="TableText"/>
            </w:pPr>
            <w:r w:rsidRPr="00C019B0">
              <w:t>City of Lynden Fire Department</w:t>
            </w:r>
          </w:p>
        </w:tc>
        <w:tc>
          <w:tcPr>
            <w:tcW w:w="1526" w:type="dxa"/>
            <w:tcBorders>
              <w:top w:val="single" w:sz="4" w:space="0" w:color="auto"/>
              <w:left w:val="nil"/>
              <w:bottom w:val="single" w:sz="4" w:space="0" w:color="auto"/>
              <w:right w:val="nil"/>
            </w:tcBorders>
          </w:tcPr>
          <w:p w:rsidR="00AC507C" w:rsidRPr="00C019B0" w:rsidRDefault="00AC507C" w:rsidP="005718C9">
            <w:pPr>
              <w:pStyle w:val="TableText"/>
              <w:jc w:val="center"/>
            </w:pPr>
          </w:p>
        </w:tc>
        <w:tc>
          <w:tcPr>
            <w:tcW w:w="2160" w:type="dxa"/>
            <w:tcBorders>
              <w:top w:val="single" w:sz="4" w:space="0" w:color="auto"/>
              <w:left w:val="nil"/>
              <w:bottom w:val="single" w:sz="4" w:space="0" w:color="auto"/>
              <w:right w:val="nil"/>
            </w:tcBorders>
          </w:tcPr>
          <w:p w:rsidR="00AC507C" w:rsidRPr="00C019B0" w:rsidRDefault="00AC507C" w:rsidP="003D32D3">
            <w:pPr>
              <w:pStyle w:val="TableText"/>
              <w:jc w:val="center"/>
            </w:pPr>
          </w:p>
        </w:tc>
        <w:tc>
          <w:tcPr>
            <w:tcW w:w="2700" w:type="dxa"/>
            <w:tcBorders>
              <w:top w:val="single" w:sz="4" w:space="0" w:color="auto"/>
              <w:left w:val="nil"/>
              <w:bottom w:val="single" w:sz="4" w:space="0" w:color="auto"/>
              <w:right w:val="nil"/>
            </w:tcBorders>
          </w:tcPr>
          <w:p w:rsidR="00AC507C" w:rsidRPr="00C019B0" w:rsidRDefault="00AC507C" w:rsidP="00AC507C">
            <w:pPr>
              <w:pStyle w:val="TableText"/>
              <w:jc w:val="center"/>
            </w:pPr>
            <w:r w:rsidRPr="00C019B0">
              <w:t xml:space="preserve">8 minutes 80% of the time for the Lynden UGA </w:t>
            </w:r>
          </w:p>
        </w:tc>
        <w:tc>
          <w:tcPr>
            <w:tcW w:w="270" w:type="dxa"/>
            <w:tcBorders>
              <w:top w:val="single" w:sz="4" w:space="0" w:color="auto"/>
              <w:left w:val="nil"/>
              <w:bottom w:val="single" w:sz="4" w:space="0" w:color="auto"/>
              <w:right w:val="nil"/>
            </w:tcBorders>
          </w:tcPr>
          <w:p w:rsidR="00AC507C" w:rsidRPr="00C019B0" w:rsidRDefault="00AC507C" w:rsidP="005718C9">
            <w:pPr>
              <w:pStyle w:val="TableText"/>
              <w:jc w:val="center"/>
            </w:pPr>
          </w:p>
        </w:tc>
        <w:tc>
          <w:tcPr>
            <w:tcW w:w="1560" w:type="dxa"/>
            <w:tcBorders>
              <w:top w:val="single" w:sz="4" w:space="0" w:color="auto"/>
              <w:left w:val="nil"/>
              <w:bottom w:val="single" w:sz="4" w:space="0" w:color="auto"/>
              <w:right w:val="nil"/>
            </w:tcBorders>
          </w:tcPr>
          <w:p w:rsidR="00AC507C" w:rsidRPr="00C019B0" w:rsidRDefault="00AC507C" w:rsidP="005718C9">
            <w:pPr>
              <w:pStyle w:val="TableText"/>
              <w:jc w:val="center"/>
            </w:pPr>
            <w:r w:rsidRPr="00C019B0">
              <w:t>Yes</w:t>
            </w:r>
            <w:r w:rsidRPr="00C019B0">
              <w:rPr>
                <w:vertAlign w:val="superscript"/>
              </w:rPr>
              <w:t>3</w:t>
            </w:r>
          </w:p>
        </w:tc>
      </w:tr>
      <w:tr w:rsidR="003D32D3" w:rsidTr="00AC507C">
        <w:trPr>
          <w:trHeight w:val="818"/>
        </w:trPr>
        <w:tc>
          <w:tcPr>
            <w:tcW w:w="1437" w:type="dxa"/>
            <w:tcBorders>
              <w:top w:val="single" w:sz="4" w:space="0" w:color="auto"/>
              <w:left w:val="nil"/>
              <w:bottom w:val="single" w:sz="4" w:space="0" w:color="auto"/>
              <w:right w:val="nil"/>
            </w:tcBorders>
          </w:tcPr>
          <w:p w:rsidR="00AC507C" w:rsidRDefault="003D32D3" w:rsidP="005718C9">
            <w:pPr>
              <w:pStyle w:val="TableText"/>
            </w:pPr>
            <w:r>
              <w:t>Fire District 1</w:t>
            </w:r>
          </w:p>
          <w:p w:rsidR="003D32D3" w:rsidRPr="00AC507C" w:rsidRDefault="003D32D3" w:rsidP="00AC507C">
            <w:pPr>
              <w:jc w:val="center"/>
            </w:pPr>
          </w:p>
        </w:tc>
        <w:tc>
          <w:tcPr>
            <w:tcW w:w="1526" w:type="dxa"/>
            <w:tcBorders>
              <w:top w:val="single" w:sz="4" w:space="0" w:color="auto"/>
              <w:left w:val="nil"/>
              <w:bottom w:val="single" w:sz="4" w:space="0" w:color="auto"/>
              <w:right w:val="nil"/>
            </w:tcBorders>
          </w:tcPr>
          <w:p w:rsidR="003D32D3" w:rsidRDefault="003D32D3" w:rsidP="005718C9">
            <w:pPr>
              <w:pStyle w:val="TableText"/>
              <w:jc w:val="center"/>
            </w:pPr>
          </w:p>
        </w:tc>
        <w:tc>
          <w:tcPr>
            <w:tcW w:w="2160" w:type="dxa"/>
            <w:tcBorders>
              <w:top w:val="single" w:sz="4" w:space="0" w:color="auto"/>
              <w:left w:val="nil"/>
              <w:bottom w:val="single" w:sz="4" w:space="0" w:color="auto"/>
              <w:right w:val="nil"/>
            </w:tcBorders>
          </w:tcPr>
          <w:p w:rsidR="003D32D3" w:rsidRDefault="003D32D3" w:rsidP="003D32D3">
            <w:pPr>
              <w:pStyle w:val="TableText"/>
              <w:jc w:val="center"/>
            </w:pPr>
            <w:r>
              <w:t xml:space="preserve">6 for the </w:t>
            </w:r>
          </w:p>
          <w:p w:rsidR="00C30759" w:rsidRDefault="003D32D3" w:rsidP="00AC507C">
            <w:pPr>
              <w:pStyle w:val="TableText"/>
              <w:jc w:val="center"/>
            </w:pPr>
            <w:r>
              <w:t>Everson and Nooksack UGAs</w:t>
            </w:r>
          </w:p>
          <w:p w:rsidR="003D32D3" w:rsidRDefault="003D32D3" w:rsidP="003D32D3">
            <w:pPr>
              <w:pStyle w:val="TableText"/>
              <w:jc w:val="center"/>
            </w:pPr>
            <w:r>
              <w:t>8 for rural areas</w:t>
            </w:r>
          </w:p>
        </w:tc>
        <w:tc>
          <w:tcPr>
            <w:tcW w:w="2700" w:type="dxa"/>
            <w:tcBorders>
              <w:top w:val="single" w:sz="4" w:space="0" w:color="auto"/>
              <w:left w:val="nil"/>
              <w:bottom w:val="single" w:sz="4" w:space="0" w:color="auto"/>
              <w:right w:val="nil"/>
            </w:tcBorders>
          </w:tcPr>
          <w:p w:rsidR="003D32D3" w:rsidRDefault="003D32D3" w:rsidP="00C30759">
            <w:pPr>
              <w:pStyle w:val="TableText"/>
              <w:jc w:val="center"/>
            </w:pPr>
            <w:r>
              <w:t>10 minutes 80% of the time for the Everson and Nooksack UGAs</w:t>
            </w:r>
          </w:p>
          <w:p w:rsidR="003D32D3" w:rsidRDefault="003D32D3" w:rsidP="003D32D3">
            <w:pPr>
              <w:pStyle w:val="TableText"/>
              <w:jc w:val="center"/>
            </w:pPr>
            <w:r>
              <w:t>14 minutes 80% of the time for rural</w:t>
            </w:r>
            <w:r w:rsidR="007E2047">
              <w:t xml:space="preserve"> </w:t>
            </w:r>
            <w:r>
              <w:t>areas</w:t>
            </w:r>
          </w:p>
        </w:tc>
        <w:tc>
          <w:tcPr>
            <w:tcW w:w="270" w:type="dxa"/>
            <w:tcBorders>
              <w:top w:val="single" w:sz="4" w:space="0" w:color="auto"/>
              <w:left w:val="nil"/>
              <w:bottom w:val="single" w:sz="4" w:space="0" w:color="auto"/>
              <w:right w:val="nil"/>
            </w:tcBorders>
          </w:tcPr>
          <w:p w:rsidR="003D32D3" w:rsidRDefault="003D32D3" w:rsidP="005718C9">
            <w:pPr>
              <w:pStyle w:val="TableText"/>
              <w:jc w:val="center"/>
            </w:pPr>
          </w:p>
        </w:tc>
        <w:tc>
          <w:tcPr>
            <w:tcW w:w="1560" w:type="dxa"/>
            <w:tcBorders>
              <w:top w:val="single" w:sz="4" w:space="0" w:color="auto"/>
              <w:left w:val="nil"/>
              <w:bottom w:val="single" w:sz="4" w:space="0" w:color="auto"/>
              <w:right w:val="nil"/>
            </w:tcBorders>
          </w:tcPr>
          <w:p w:rsidR="003D32D3" w:rsidRDefault="003D32D3" w:rsidP="005718C9">
            <w:pPr>
              <w:pStyle w:val="TableText"/>
              <w:jc w:val="center"/>
            </w:pPr>
            <w:r>
              <w:t>Yes</w:t>
            </w:r>
            <w:r w:rsidR="00AC507C">
              <w:rPr>
                <w:vertAlign w:val="superscript"/>
              </w:rPr>
              <w:t>4</w:t>
            </w:r>
          </w:p>
        </w:tc>
      </w:tr>
      <w:tr w:rsidR="00A2170E" w:rsidTr="00AC507C">
        <w:trPr>
          <w:trHeight w:val="818"/>
        </w:trPr>
        <w:tc>
          <w:tcPr>
            <w:tcW w:w="1437" w:type="dxa"/>
            <w:tcBorders>
              <w:top w:val="single" w:sz="4" w:space="0" w:color="auto"/>
              <w:left w:val="nil"/>
              <w:bottom w:val="single" w:sz="4" w:space="0" w:color="auto"/>
              <w:right w:val="nil"/>
            </w:tcBorders>
            <w:hideMark/>
          </w:tcPr>
          <w:p w:rsidR="00A2170E" w:rsidRDefault="00A2170E" w:rsidP="005718C9">
            <w:pPr>
              <w:pStyle w:val="TableText"/>
            </w:pPr>
            <w:r>
              <w:t>Fire District 7</w:t>
            </w:r>
          </w:p>
        </w:tc>
        <w:tc>
          <w:tcPr>
            <w:tcW w:w="1526" w:type="dxa"/>
            <w:tcBorders>
              <w:top w:val="single" w:sz="4" w:space="0" w:color="auto"/>
              <w:left w:val="nil"/>
              <w:bottom w:val="single" w:sz="4" w:space="0" w:color="auto"/>
              <w:right w:val="nil"/>
            </w:tcBorders>
          </w:tcPr>
          <w:p w:rsidR="00A2170E" w:rsidRDefault="00A2170E" w:rsidP="005718C9">
            <w:pPr>
              <w:pStyle w:val="TableText"/>
              <w:jc w:val="center"/>
            </w:pPr>
          </w:p>
        </w:tc>
        <w:tc>
          <w:tcPr>
            <w:tcW w:w="2160" w:type="dxa"/>
            <w:tcBorders>
              <w:top w:val="single" w:sz="4" w:space="0" w:color="auto"/>
              <w:left w:val="nil"/>
              <w:bottom w:val="single" w:sz="4" w:space="0" w:color="auto"/>
              <w:right w:val="nil"/>
            </w:tcBorders>
            <w:hideMark/>
          </w:tcPr>
          <w:p w:rsidR="00A2170E" w:rsidRDefault="00A2170E" w:rsidP="005718C9">
            <w:pPr>
              <w:pStyle w:val="TableText"/>
              <w:jc w:val="center"/>
            </w:pPr>
          </w:p>
        </w:tc>
        <w:tc>
          <w:tcPr>
            <w:tcW w:w="2700" w:type="dxa"/>
            <w:tcBorders>
              <w:top w:val="single" w:sz="4" w:space="0" w:color="auto"/>
              <w:left w:val="nil"/>
              <w:bottom w:val="single" w:sz="4" w:space="0" w:color="auto"/>
              <w:right w:val="nil"/>
            </w:tcBorders>
            <w:hideMark/>
          </w:tcPr>
          <w:p w:rsidR="00A2170E" w:rsidRDefault="00A2170E" w:rsidP="005718C9">
            <w:pPr>
              <w:pStyle w:val="TableText"/>
              <w:jc w:val="center"/>
            </w:pPr>
            <w:r>
              <w:t>8 minutes 80% of the time for the Ferndale UGA</w:t>
            </w:r>
            <w:r w:rsidR="00C30759">
              <w:t xml:space="preserve"> and Cherry Point UGA</w:t>
            </w:r>
          </w:p>
          <w:p w:rsidR="00C30759" w:rsidRDefault="00C30759" w:rsidP="00C30759">
            <w:pPr>
              <w:pStyle w:val="TableText"/>
              <w:jc w:val="center"/>
            </w:pPr>
            <w:r>
              <w:t xml:space="preserve">12 </w:t>
            </w:r>
            <w:r w:rsidRPr="00C30759">
              <w:t>minutes 80% of the time for rural areas</w:t>
            </w:r>
          </w:p>
        </w:tc>
        <w:tc>
          <w:tcPr>
            <w:tcW w:w="270" w:type="dxa"/>
            <w:tcBorders>
              <w:top w:val="single" w:sz="4" w:space="0" w:color="auto"/>
              <w:left w:val="nil"/>
              <w:bottom w:val="single" w:sz="4" w:space="0" w:color="auto"/>
              <w:right w:val="nil"/>
            </w:tcBorders>
            <w:hideMark/>
          </w:tcPr>
          <w:p w:rsidR="00A2170E" w:rsidRDefault="00A2170E" w:rsidP="005718C9">
            <w:pPr>
              <w:pStyle w:val="TableText"/>
              <w:jc w:val="center"/>
            </w:pPr>
          </w:p>
        </w:tc>
        <w:tc>
          <w:tcPr>
            <w:tcW w:w="1560" w:type="dxa"/>
            <w:tcBorders>
              <w:top w:val="single" w:sz="4" w:space="0" w:color="auto"/>
              <w:left w:val="nil"/>
              <w:bottom w:val="single" w:sz="4" w:space="0" w:color="auto"/>
              <w:right w:val="nil"/>
            </w:tcBorders>
            <w:hideMark/>
          </w:tcPr>
          <w:p w:rsidR="00A2170E" w:rsidRDefault="00A2170E" w:rsidP="003D32D3">
            <w:pPr>
              <w:pStyle w:val="TableText"/>
              <w:jc w:val="center"/>
            </w:pPr>
            <w:r>
              <w:t>Yes</w:t>
            </w:r>
            <w:r w:rsidR="00AC507C">
              <w:rPr>
                <w:vertAlign w:val="superscript"/>
              </w:rPr>
              <w:t>5</w:t>
            </w:r>
          </w:p>
        </w:tc>
      </w:tr>
      <w:tr w:rsidR="00A2170E" w:rsidTr="00AC507C">
        <w:trPr>
          <w:trHeight w:val="818"/>
        </w:trPr>
        <w:tc>
          <w:tcPr>
            <w:tcW w:w="1437" w:type="dxa"/>
            <w:tcBorders>
              <w:top w:val="single" w:sz="4" w:space="0" w:color="auto"/>
              <w:left w:val="nil"/>
              <w:bottom w:val="single" w:sz="4" w:space="0" w:color="auto"/>
              <w:right w:val="nil"/>
            </w:tcBorders>
          </w:tcPr>
          <w:p w:rsidR="00A2170E" w:rsidRDefault="00A2170E" w:rsidP="005718C9">
            <w:pPr>
              <w:pStyle w:val="TableText"/>
            </w:pPr>
            <w:r>
              <w:t>Fire District 8</w:t>
            </w:r>
          </w:p>
        </w:tc>
        <w:tc>
          <w:tcPr>
            <w:tcW w:w="1526" w:type="dxa"/>
            <w:tcBorders>
              <w:top w:val="single" w:sz="4" w:space="0" w:color="auto"/>
              <w:left w:val="nil"/>
              <w:bottom w:val="single" w:sz="4" w:space="0" w:color="auto"/>
              <w:right w:val="nil"/>
            </w:tcBorders>
          </w:tcPr>
          <w:p w:rsidR="00A2170E" w:rsidRDefault="00A2170E" w:rsidP="005718C9">
            <w:pPr>
              <w:pStyle w:val="TableText"/>
              <w:jc w:val="center"/>
            </w:pPr>
          </w:p>
        </w:tc>
        <w:tc>
          <w:tcPr>
            <w:tcW w:w="2160" w:type="dxa"/>
            <w:tcBorders>
              <w:top w:val="single" w:sz="4" w:space="0" w:color="auto"/>
              <w:left w:val="nil"/>
              <w:bottom w:val="single" w:sz="4" w:space="0" w:color="auto"/>
              <w:right w:val="nil"/>
            </w:tcBorders>
          </w:tcPr>
          <w:p w:rsidR="00A2170E" w:rsidRDefault="00A2170E" w:rsidP="005718C9">
            <w:pPr>
              <w:pStyle w:val="TableText"/>
              <w:jc w:val="center"/>
            </w:pPr>
          </w:p>
        </w:tc>
        <w:tc>
          <w:tcPr>
            <w:tcW w:w="2700" w:type="dxa"/>
            <w:tcBorders>
              <w:top w:val="single" w:sz="4" w:space="0" w:color="auto"/>
              <w:left w:val="nil"/>
              <w:bottom w:val="single" w:sz="4" w:space="0" w:color="auto"/>
              <w:right w:val="nil"/>
            </w:tcBorders>
          </w:tcPr>
          <w:p w:rsidR="00C30759" w:rsidRDefault="00A2170E" w:rsidP="005718C9">
            <w:pPr>
              <w:pStyle w:val="TableText"/>
              <w:jc w:val="center"/>
            </w:pPr>
            <w:r>
              <w:t xml:space="preserve">8 minutes 80% of the </w:t>
            </w:r>
            <w:r w:rsidR="00C30759">
              <w:t xml:space="preserve">time for the Bellingham UGA </w:t>
            </w:r>
          </w:p>
          <w:p w:rsidR="00A2170E" w:rsidRDefault="00A2170E" w:rsidP="005718C9">
            <w:pPr>
              <w:pStyle w:val="TableText"/>
              <w:jc w:val="center"/>
            </w:pPr>
            <w:r>
              <w:t>12 minutes 80% of the time for rural areas</w:t>
            </w:r>
          </w:p>
        </w:tc>
        <w:tc>
          <w:tcPr>
            <w:tcW w:w="270" w:type="dxa"/>
            <w:tcBorders>
              <w:top w:val="single" w:sz="4" w:space="0" w:color="auto"/>
              <w:left w:val="nil"/>
              <w:bottom w:val="single" w:sz="4" w:space="0" w:color="auto"/>
              <w:right w:val="nil"/>
            </w:tcBorders>
          </w:tcPr>
          <w:p w:rsidR="00A2170E" w:rsidRDefault="00A2170E" w:rsidP="005718C9">
            <w:pPr>
              <w:pStyle w:val="TableText"/>
              <w:jc w:val="center"/>
            </w:pPr>
          </w:p>
        </w:tc>
        <w:tc>
          <w:tcPr>
            <w:tcW w:w="1560" w:type="dxa"/>
            <w:tcBorders>
              <w:top w:val="single" w:sz="4" w:space="0" w:color="auto"/>
              <w:left w:val="nil"/>
              <w:bottom w:val="single" w:sz="4" w:space="0" w:color="auto"/>
              <w:right w:val="nil"/>
            </w:tcBorders>
          </w:tcPr>
          <w:p w:rsidR="00A2170E" w:rsidRPr="009663C6" w:rsidRDefault="00FE118C" w:rsidP="003D32D3">
            <w:pPr>
              <w:pStyle w:val="TableText"/>
              <w:jc w:val="center"/>
              <w:rPr>
                <w:vertAlign w:val="superscript"/>
              </w:rPr>
            </w:pPr>
            <w:r>
              <w:t>No</w:t>
            </w:r>
            <w:r w:rsidR="00AC507C">
              <w:rPr>
                <w:vertAlign w:val="superscript"/>
              </w:rPr>
              <w:t>6</w:t>
            </w:r>
          </w:p>
        </w:tc>
      </w:tr>
      <w:tr w:rsidR="00A2170E" w:rsidTr="00AC507C">
        <w:trPr>
          <w:trHeight w:val="818"/>
        </w:trPr>
        <w:tc>
          <w:tcPr>
            <w:tcW w:w="1437" w:type="dxa"/>
            <w:tcBorders>
              <w:top w:val="single" w:sz="4" w:space="0" w:color="auto"/>
              <w:left w:val="nil"/>
              <w:bottom w:val="single" w:sz="4" w:space="0" w:color="auto"/>
              <w:right w:val="nil"/>
            </w:tcBorders>
          </w:tcPr>
          <w:p w:rsidR="00A2170E" w:rsidRDefault="00A2170E" w:rsidP="005718C9">
            <w:pPr>
              <w:pStyle w:val="TableText"/>
            </w:pPr>
            <w:r>
              <w:t>Fire District 14</w:t>
            </w:r>
          </w:p>
        </w:tc>
        <w:tc>
          <w:tcPr>
            <w:tcW w:w="1526" w:type="dxa"/>
            <w:tcBorders>
              <w:top w:val="single" w:sz="4" w:space="0" w:color="auto"/>
              <w:left w:val="nil"/>
              <w:bottom w:val="single" w:sz="4" w:space="0" w:color="auto"/>
              <w:right w:val="nil"/>
            </w:tcBorders>
          </w:tcPr>
          <w:p w:rsidR="00A2170E" w:rsidRDefault="00A2170E" w:rsidP="005718C9">
            <w:pPr>
              <w:pStyle w:val="TableText"/>
              <w:jc w:val="center"/>
            </w:pPr>
          </w:p>
        </w:tc>
        <w:tc>
          <w:tcPr>
            <w:tcW w:w="2160" w:type="dxa"/>
            <w:tcBorders>
              <w:top w:val="single" w:sz="4" w:space="0" w:color="auto"/>
              <w:left w:val="nil"/>
              <w:bottom w:val="single" w:sz="4" w:space="0" w:color="auto"/>
              <w:right w:val="nil"/>
            </w:tcBorders>
          </w:tcPr>
          <w:p w:rsidR="00A2170E" w:rsidRDefault="00A2170E" w:rsidP="005718C9">
            <w:pPr>
              <w:pStyle w:val="TableText"/>
              <w:jc w:val="center"/>
            </w:pPr>
            <w:r>
              <w:t xml:space="preserve">6 </w:t>
            </w:r>
            <w:r w:rsidR="00FE118C" w:rsidRPr="00FE118C">
              <w:t>for the Columbia Valley &amp; Sumas UGAs</w:t>
            </w:r>
          </w:p>
          <w:p w:rsidR="003D32D3" w:rsidRDefault="003D32D3" w:rsidP="005718C9">
            <w:pPr>
              <w:pStyle w:val="TableText"/>
              <w:jc w:val="center"/>
            </w:pPr>
          </w:p>
          <w:p w:rsidR="00A2170E" w:rsidRDefault="00A2170E" w:rsidP="005718C9">
            <w:pPr>
              <w:pStyle w:val="TableText"/>
              <w:jc w:val="center"/>
            </w:pPr>
            <w:r>
              <w:t>8 for rural areas</w:t>
            </w:r>
          </w:p>
        </w:tc>
        <w:tc>
          <w:tcPr>
            <w:tcW w:w="2700" w:type="dxa"/>
            <w:tcBorders>
              <w:top w:val="single" w:sz="4" w:space="0" w:color="auto"/>
              <w:left w:val="nil"/>
              <w:bottom w:val="single" w:sz="4" w:space="0" w:color="auto"/>
              <w:right w:val="nil"/>
            </w:tcBorders>
          </w:tcPr>
          <w:p w:rsidR="003D32D3" w:rsidRDefault="00A2170E" w:rsidP="005718C9">
            <w:pPr>
              <w:pStyle w:val="TableText"/>
              <w:jc w:val="center"/>
            </w:pPr>
            <w:r>
              <w:t>10 minutes 80% of the time for the Columbia Valley &amp;</w:t>
            </w:r>
            <w:r w:rsidR="00C30759">
              <w:t xml:space="preserve"> Sumas UGAs</w:t>
            </w:r>
          </w:p>
          <w:p w:rsidR="00A2170E" w:rsidRDefault="00A2170E" w:rsidP="005718C9">
            <w:pPr>
              <w:pStyle w:val="TableText"/>
              <w:jc w:val="center"/>
            </w:pPr>
            <w:r>
              <w:t>14 minutes 80% of the time for rural areas</w:t>
            </w:r>
          </w:p>
        </w:tc>
        <w:tc>
          <w:tcPr>
            <w:tcW w:w="270" w:type="dxa"/>
            <w:tcBorders>
              <w:top w:val="single" w:sz="4" w:space="0" w:color="auto"/>
              <w:left w:val="nil"/>
              <w:bottom w:val="single" w:sz="4" w:space="0" w:color="auto"/>
              <w:right w:val="nil"/>
            </w:tcBorders>
          </w:tcPr>
          <w:p w:rsidR="00A2170E" w:rsidRDefault="00A2170E" w:rsidP="005718C9">
            <w:pPr>
              <w:pStyle w:val="TableText"/>
              <w:jc w:val="center"/>
            </w:pPr>
          </w:p>
        </w:tc>
        <w:tc>
          <w:tcPr>
            <w:tcW w:w="1560" w:type="dxa"/>
            <w:tcBorders>
              <w:top w:val="single" w:sz="4" w:space="0" w:color="auto"/>
              <w:left w:val="nil"/>
              <w:bottom w:val="single" w:sz="4" w:space="0" w:color="auto"/>
              <w:right w:val="nil"/>
            </w:tcBorders>
          </w:tcPr>
          <w:p w:rsidR="00A2170E" w:rsidRPr="003D237B" w:rsidRDefault="00A2170E" w:rsidP="003D32D3">
            <w:pPr>
              <w:pStyle w:val="TableText"/>
              <w:jc w:val="center"/>
            </w:pPr>
            <w:r>
              <w:t>Yes</w:t>
            </w:r>
            <w:r w:rsidR="00AC507C">
              <w:rPr>
                <w:vertAlign w:val="superscript"/>
              </w:rPr>
              <w:t>7</w:t>
            </w:r>
          </w:p>
        </w:tc>
      </w:tr>
      <w:tr w:rsidR="00C0692B" w:rsidTr="00AC507C">
        <w:trPr>
          <w:trHeight w:val="818"/>
        </w:trPr>
        <w:tc>
          <w:tcPr>
            <w:tcW w:w="1437" w:type="dxa"/>
            <w:tcBorders>
              <w:top w:val="single" w:sz="4" w:space="0" w:color="auto"/>
              <w:left w:val="nil"/>
              <w:bottom w:val="single" w:sz="4" w:space="0" w:color="auto"/>
              <w:right w:val="nil"/>
            </w:tcBorders>
          </w:tcPr>
          <w:p w:rsidR="00C0692B" w:rsidRDefault="00C0692B" w:rsidP="005718C9">
            <w:pPr>
              <w:pStyle w:val="TableText"/>
            </w:pPr>
            <w:r>
              <w:t>North Whatcom Fire and Rescue</w:t>
            </w:r>
            <w:r w:rsidR="00C30759">
              <w:t xml:space="preserve"> and Fire District 4</w:t>
            </w:r>
          </w:p>
        </w:tc>
        <w:tc>
          <w:tcPr>
            <w:tcW w:w="1526" w:type="dxa"/>
            <w:tcBorders>
              <w:top w:val="single" w:sz="4" w:space="0" w:color="auto"/>
              <w:left w:val="nil"/>
              <w:bottom w:val="single" w:sz="4" w:space="0" w:color="auto"/>
              <w:right w:val="nil"/>
            </w:tcBorders>
          </w:tcPr>
          <w:p w:rsidR="00C0692B" w:rsidRDefault="00C0692B" w:rsidP="005718C9">
            <w:pPr>
              <w:pStyle w:val="TableText"/>
              <w:jc w:val="center"/>
            </w:pPr>
          </w:p>
        </w:tc>
        <w:tc>
          <w:tcPr>
            <w:tcW w:w="2160" w:type="dxa"/>
            <w:tcBorders>
              <w:top w:val="single" w:sz="4" w:space="0" w:color="auto"/>
              <w:left w:val="nil"/>
              <w:bottom w:val="single" w:sz="4" w:space="0" w:color="auto"/>
              <w:right w:val="nil"/>
            </w:tcBorders>
          </w:tcPr>
          <w:p w:rsidR="00C0692B" w:rsidRDefault="00C0692B" w:rsidP="005718C9">
            <w:pPr>
              <w:pStyle w:val="TableText"/>
              <w:jc w:val="center"/>
            </w:pPr>
          </w:p>
          <w:p w:rsidR="00E739A3" w:rsidRDefault="00E739A3" w:rsidP="005718C9">
            <w:pPr>
              <w:pStyle w:val="TableText"/>
              <w:jc w:val="center"/>
            </w:pPr>
            <w:r w:rsidRPr="00E739A3">
              <w:t>8 for rural areas</w:t>
            </w:r>
            <w:r>
              <w:t xml:space="preserve"> (unstaffed stations)</w:t>
            </w:r>
          </w:p>
        </w:tc>
        <w:tc>
          <w:tcPr>
            <w:tcW w:w="2700" w:type="dxa"/>
            <w:tcBorders>
              <w:top w:val="single" w:sz="4" w:space="0" w:color="auto"/>
              <w:left w:val="nil"/>
              <w:bottom w:val="single" w:sz="4" w:space="0" w:color="auto"/>
              <w:right w:val="nil"/>
            </w:tcBorders>
          </w:tcPr>
          <w:p w:rsidR="00E739A3" w:rsidRPr="00E739A3" w:rsidRDefault="00E739A3" w:rsidP="00E739A3">
            <w:pPr>
              <w:pStyle w:val="TableText"/>
              <w:jc w:val="center"/>
            </w:pPr>
            <w:r>
              <w:t>8</w:t>
            </w:r>
            <w:r w:rsidRPr="00E739A3">
              <w:t xml:space="preserve"> minutes 80% of the time for the </w:t>
            </w:r>
            <w:r>
              <w:t>stations serving the UGAs (outside city limits)</w:t>
            </w:r>
          </w:p>
          <w:p w:rsidR="00C0692B" w:rsidRDefault="00E739A3" w:rsidP="00E739A3">
            <w:pPr>
              <w:pStyle w:val="TableText"/>
              <w:jc w:val="center"/>
            </w:pPr>
            <w:r w:rsidRPr="00E739A3">
              <w:t>12 or 14 minutes 80% of the time for rural areas (depending on whether the station is staffed or not)</w:t>
            </w:r>
          </w:p>
        </w:tc>
        <w:tc>
          <w:tcPr>
            <w:tcW w:w="270" w:type="dxa"/>
            <w:tcBorders>
              <w:top w:val="single" w:sz="4" w:space="0" w:color="auto"/>
              <w:left w:val="nil"/>
              <w:bottom w:val="single" w:sz="4" w:space="0" w:color="auto"/>
              <w:right w:val="nil"/>
            </w:tcBorders>
          </w:tcPr>
          <w:p w:rsidR="00C0692B" w:rsidRDefault="00C0692B" w:rsidP="005718C9">
            <w:pPr>
              <w:pStyle w:val="TableText"/>
              <w:jc w:val="center"/>
            </w:pPr>
          </w:p>
        </w:tc>
        <w:tc>
          <w:tcPr>
            <w:tcW w:w="1560" w:type="dxa"/>
            <w:tcBorders>
              <w:top w:val="single" w:sz="4" w:space="0" w:color="auto"/>
              <w:left w:val="nil"/>
              <w:bottom w:val="single" w:sz="4" w:space="0" w:color="auto"/>
              <w:right w:val="nil"/>
            </w:tcBorders>
          </w:tcPr>
          <w:p w:rsidR="00C0692B" w:rsidRDefault="00C0692B" w:rsidP="003D32D3">
            <w:pPr>
              <w:pStyle w:val="TableText"/>
              <w:jc w:val="center"/>
            </w:pPr>
            <w:r>
              <w:t>Yes</w:t>
            </w:r>
            <w:r w:rsidR="00AC507C">
              <w:rPr>
                <w:vertAlign w:val="superscript"/>
              </w:rPr>
              <w:t>8</w:t>
            </w:r>
          </w:p>
        </w:tc>
      </w:tr>
      <w:tr w:rsidR="003C1F84" w:rsidTr="00AC507C">
        <w:trPr>
          <w:trHeight w:val="818"/>
        </w:trPr>
        <w:tc>
          <w:tcPr>
            <w:tcW w:w="1437" w:type="dxa"/>
            <w:tcBorders>
              <w:top w:val="single" w:sz="4" w:space="0" w:color="auto"/>
              <w:left w:val="nil"/>
              <w:bottom w:val="single" w:sz="4" w:space="0" w:color="auto"/>
              <w:right w:val="nil"/>
            </w:tcBorders>
          </w:tcPr>
          <w:p w:rsidR="003C1F84" w:rsidRDefault="003C1F84" w:rsidP="005718C9">
            <w:pPr>
              <w:pStyle w:val="TableText"/>
            </w:pPr>
            <w:r>
              <w:t>South Whatcom Fire Authority</w:t>
            </w:r>
          </w:p>
        </w:tc>
        <w:tc>
          <w:tcPr>
            <w:tcW w:w="1526" w:type="dxa"/>
            <w:tcBorders>
              <w:top w:val="single" w:sz="4" w:space="0" w:color="auto"/>
              <w:left w:val="nil"/>
              <w:bottom w:val="single" w:sz="4" w:space="0" w:color="auto"/>
              <w:right w:val="nil"/>
            </w:tcBorders>
          </w:tcPr>
          <w:p w:rsidR="003C1F84" w:rsidRDefault="003C1F84" w:rsidP="005718C9">
            <w:pPr>
              <w:pStyle w:val="TableText"/>
              <w:jc w:val="center"/>
            </w:pPr>
          </w:p>
        </w:tc>
        <w:tc>
          <w:tcPr>
            <w:tcW w:w="2160" w:type="dxa"/>
            <w:tcBorders>
              <w:top w:val="single" w:sz="4" w:space="0" w:color="auto"/>
              <w:left w:val="nil"/>
              <w:bottom w:val="single" w:sz="4" w:space="0" w:color="auto"/>
              <w:right w:val="nil"/>
            </w:tcBorders>
          </w:tcPr>
          <w:p w:rsidR="003C1F84" w:rsidRDefault="003C1F84" w:rsidP="005718C9">
            <w:pPr>
              <w:pStyle w:val="TableText"/>
              <w:jc w:val="center"/>
            </w:pPr>
            <w:r w:rsidRPr="003C1F84">
              <w:t>8 for rural areas</w:t>
            </w:r>
            <w:r w:rsidR="00FE118C">
              <w:t xml:space="preserve"> </w:t>
            </w:r>
            <w:r w:rsidR="00FE118C" w:rsidRPr="00FE118C">
              <w:t>(unstaffed stations)</w:t>
            </w:r>
          </w:p>
        </w:tc>
        <w:tc>
          <w:tcPr>
            <w:tcW w:w="2700" w:type="dxa"/>
            <w:tcBorders>
              <w:top w:val="single" w:sz="4" w:space="0" w:color="auto"/>
              <w:left w:val="nil"/>
              <w:bottom w:val="single" w:sz="4" w:space="0" w:color="auto"/>
              <w:right w:val="nil"/>
            </w:tcBorders>
          </w:tcPr>
          <w:p w:rsidR="003C1F84" w:rsidRDefault="003C1F84" w:rsidP="005718C9">
            <w:pPr>
              <w:pStyle w:val="TableText"/>
              <w:jc w:val="center"/>
            </w:pPr>
            <w:r w:rsidRPr="003C1F84">
              <w:t>8 minutes 80% of the time for the Bellingham UGA</w:t>
            </w:r>
          </w:p>
          <w:p w:rsidR="00FE118C" w:rsidRDefault="00FE118C" w:rsidP="005718C9">
            <w:pPr>
              <w:pStyle w:val="TableText"/>
              <w:jc w:val="center"/>
            </w:pPr>
            <w:r w:rsidRPr="00FE118C">
              <w:t>12 or 14 minutes 80% of the time for rural areas (depending on whether the station is staffed or not)</w:t>
            </w:r>
          </w:p>
        </w:tc>
        <w:tc>
          <w:tcPr>
            <w:tcW w:w="270" w:type="dxa"/>
            <w:tcBorders>
              <w:top w:val="single" w:sz="4" w:space="0" w:color="auto"/>
              <w:left w:val="nil"/>
              <w:bottom w:val="single" w:sz="4" w:space="0" w:color="auto"/>
              <w:right w:val="nil"/>
            </w:tcBorders>
          </w:tcPr>
          <w:p w:rsidR="003C1F84" w:rsidRDefault="003C1F84" w:rsidP="005718C9">
            <w:pPr>
              <w:pStyle w:val="TableText"/>
              <w:jc w:val="center"/>
            </w:pPr>
          </w:p>
        </w:tc>
        <w:tc>
          <w:tcPr>
            <w:tcW w:w="1560" w:type="dxa"/>
            <w:tcBorders>
              <w:top w:val="single" w:sz="4" w:space="0" w:color="auto"/>
              <w:left w:val="nil"/>
              <w:bottom w:val="single" w:sz="4" w:space="0" w:color="auto"/>
              <w:right w:val="nil"/>
            </w:tcBorders>
          </w:tcPr>
          <w:p w:rsidR="003C1F84" w:rsidRDefault="003C1F84" w:rsidP="003D32D3">
            <w:pPr>
              <w:pStyle w:val="TableText"/>
              <w:jc w:val="center"/>
            </w:pPr>
            <w:r>
              <w:t>Yes</w:t>
            </w:r>
            <w:r w:rsidR="00AC507C">
              <w:rPr>
                <w:vertAlign w:val="superscript"/>
              </w:rPr>
              <w:t>9</w:t>
            </w:r>
          </w:p>
        </w:tc>
      </w:tr>
    </w:tbl>
    <w:p w:rsidR="003D32D3" w:rsidRDefault="003D32D3" w:rsidP="00A2170E">
      <w:pPr>
        <w:pStyle w:val="TableNotesLast"/>
        <w:spacing w:before="0" w:after="0"/>
        <w:ind w:left="270" w:hanging="270"/>
      </w:pPr>
    </w:p>
    <w:p w:rsidR="003C1F84" w:rsidRDefault="0028352D" w:rsidP="00AC507C">
      <w:pPr>
        <w:pStyle w:val="TableNotesLast"/>
        <w:spacing w:before="0" w:after="0"/>
        <w:ind w:left="270" w:hanging="270"/>
      </w:pPr>
      <w:r w:rsidRPr="0028352D">
        <w:t>1</w:t>
      </w:r>
      <w:r w:rsidR="003D32D3">
        <w:tab/>
      </w:r>
      <w:r w:rsidR="00AC507C">
        <w:t>The Fire</w:t>
      </w:r>
      <w:r w:rsidR="003C1F84">
        <w:t xml:space="preserve"> Districts also serve rural areas located outside UGAs.</w:t>
      </w:r>
    </w:p>
    <w:p w:rsidR="00AC507C" w:rsidRDefault="00AC507C" w:rsidP="00AC507C">
      <w:pPr>
        <w:pStyle w:val="TableNotesLast"/>
        <w:spacing w:before="0" w:after="0"/>
        <w:ind w:left="270" w:hanging="270"/>
      </w:pPr>
      <w:r>
        <w:t>2</w:t>
      </w:r>
      <w:r>
        <w:tab/>
      </w:r>
      <w:r w:rsidRPr="003C1F84">
        <w:rPr>
          <w:i/>
        </w:rPr>
        <w:t>Final EIS Whatcom County 2016 Comprehensive Plan and Development Regulations Update and Urban Growth Areas Review</w:t>
      </w:r>
      <w:r w:rsidRPr="003C1F84">
        <w:t xml:space="preserve"> (November 2015</w:t>
      </w:r>
      <w:r>
        <w:t>, p. 3-17</w:t>
      </w:r>
      <w:r w:rsidRPr="003C1F84">
        <w:t>).</w:t>
      </w:r>
    </w:p>
    <w:p w:rsidR="003C1F84" w:rsidRDefault="00AC507C" w:rsidP="00AC507C">
      <w:pPr>
        <w:pStyle w:val="TableNotesLast"/>
        <w:spacing w:before="0" w:after="0"/>
        <w:ind w:left="270" w:hanging="270"/>
      </w:pPr>
      <w:r>
        <w:t>3</w:t>
      </w:r>
      <w:r>
        <w:tab/>
      </w:r>
      <w:r w:rsidRPr="003C1F84">
        <w:rPr>
          <w:i/>
        </w:rPr>
        <w:t>Final EIS Whatcom County 2016 Comprehensive Plan and Development Regulations Update and Urban Growth Areas Review</w:t>
      </w:r>
      <w:r w:rsidRPr="003C1F84">
        <w:t xml:space="preserve"> (November 2015</w:t>
      </w:r>
      <w:r>
        <w:t>, p. 3-17</w:t>
      </w:r>
      <w:r w:rsidRPr="003C1F84">
        <w:t>).</w:t>
      </w:r>
    </w:p>
    <w:p w:rsidR="003D32D3" w:rsidRDefault="00AC507C" w:rsidP="00AC507C">
      <w:pPr>
        <w:pStyle w:val="TableNotesLast"/>
        <w:spacing w:before="0" w:after="0"/>
        <w:ind w:left="270" w:hanging="270"/>
      </w:pPr>
      <w:r>
        <w:t>4</w:t>
      </w:r>
      <w:r w:rsidR="003C1F84">
        <w:tab/>
      </w:r>
      <w:r w:rsidR="003D32D3" w:rsidRPr="00FE118C">
        <w:rPr>
          <w:i/>
        </w:rPr>
        <w:t>Whatcom County Fire District # 1 Capital Facilities Plan</w:t>
      </w:r>
      <w:r w:rsidR="003D32D3">
        <w:t xml:space="preserve"> (</w:t>
      </w:r>
      <w:r w:rsidR="0028352D">
        <w:t xml:space="preserve">August </w:t>
      </w:r>
      <w:r w:rsidR="003C1F84">
        <w:t>2015).</w:t>
      </w:r>
    </w:p>
    <w:p w:rsidR="00A2170E" w:rsidRDefault="00AC507C" w:rsidP="00AC507C">
      <w:pPr>
        <w:pStyle w:val="BodyText"/>
        <w:tabs>
          <w:tab w:val="left" w:pos="270"/>
        </w:tabs>
        <w:spacing w:before="0" w:after="0" w:line="240" w:lineRule="auto"/>
        <w:ind w:left="270" w:hanging="270"/>
        <w:rPr>
          <w:rFonts w:ascii="Arial" w:hAnsi="Arial" w:cs="Arial"/>
          <w:sz w:val="15"/>
          <w:szCs w:val="15"/>
        </w:rPr>
      </w:pPr>
      <w:r>
        <w:rPr>
          <w:rFonts w:ascii="Arial" w:hAnsi="Arial" w:cs="Arial"/>
          <w:sz w:val="15"/>
          <w:szCs w:val="15"/>
        </w:rPr>
        <w:t>5</w:t>
      </w:r>
      <w:r w:rsidR="0028352D">
        <w:rPr>
          <w:rFonts w:ascii="Arial" w:hAnsi="Arial" w:cs="Arial"/>
          <w:sz w:val="15"/>
          <w:szCs w:val="15"/>
        </w:rPr>
        <w:tab/>
      </w:r>
      <w:r w:rsidR="00A2170E" w:rsidRPr="00FE118C">
        <w:rPr>
          <w:rFonts w:ascii="Arial" w:hAnsi="Arial" w:cs="Arial"/>
          <w:i/>
          <w:sz w:val="15"/>
          <w:szCs w:val="15"/>
        </w:rPr>
        <w:t>Whatcom County Fire District No. 7</w:t>
      </w:r>
      <w:r w:rsidR="0096109E" w:rsidRPr="00FE118C">
        <w:rPr>
          <w:rFonts w:ascii="Arial" w:hAnsi="Arial" w:cs="Arial"/>
          <w:i/>
          <w:sz w:val="15"/>
          <w:szCs w:val="15"/>
        </w:rPr>
        <w:t xml:space="preserve"> Capital Facility Plan 2016-2036</w:t>
      </w:r>
      <w:r w:rsidR="0028352D">
        <w:rPr>
          <w:rFonts w:ascii="Arial" w:hAnsi="Arial" w:cs="Arial"/>
          <w:sz w:val="15"/>
          <w:szCs w:val="15"/>
        </w:rPr>
        <w:t xml:space="preserve"> (February 2016)</w:t>
      </w:r>
      <w:r w:rsidR="00A2170E">
        <w:rPr>
          <w:rFonts w:ascii="Arial" w:hAnsi="Arial" w:cs="Arial"/>
          <w:sz w:val="15"/>
          <w:szCs w:val="15"/>
        </w:rPr>
        <w:t>.</w:t>
      </w:r>
    </w:p>
    <w:p w:rsidR="00A2170E" w:rsidRDefault="00AC507C" w:rsidP="00AC507C">
      <w:pPr>
        <w:pStyle w:val="BodyText"/>
        <w:tabs>
          <w:tab w:val="left" w:pos="270"/>
        </w:tabs>
        <w:spacing w:before="0" w:after="0" w:line="240" w:lineRule="auto"/>
        <w:ind w:left="270" w:hanging="270"/>
        <w:rPr>
          <w:rFonts w:ascii="Arial" w:hAnsi="Arial" w:cs="Arial"/>
          <w:sz w:val="15"/>
          <w:szCs w:val="15"/>
        </w:rPr>
      </w:pPr>
      <w:r>
        <w:rPr>
          <w:rFonts w:ascii="Arial" w:hAnsi="Arial" w:cs="Arial"/>
          <w:sz w:val="15"/>
          <w:szCs w:val="15"/>
        </w:rPr>
        <w:t>6</w:t>
      </w:r>
      <w:r w:rsidR="00A2170E">
        <w:rPr>
          <w:rFonts w:ascii="Arial" w:hAnsi="Arial" w:cs="Arial"/>
          <w:sz w:val="15"/>
          <w:szCs w:val="15"/>
        </w:rPr>
        <w:tab/>
      </w:r>
      <w:r w:rsidR="00FE118C">
        <w:rPr>
          <w:rFonts w:ascii="Arial" w:hAnsi="Arial" w:cs="Arial"/>
          <w:sz w:val="15"/>
          <w:szCs w:val="15"/>
        </w:rPr>
        <w:t xml:space="preserve">Current responses times to portions of the Bellingham UGA are not within the LOS standards.  However, the </w:t>
      </w:r>
      <w:r w:rsidR="00A2170E">
        <w:rPr>
          <w:rFonts w:ascii="Arial" w:hAnsi="Arial" w:cs="Arial"/>
          <w:sz w:val="15"/>
          <w:szCs w:val="15"/>
        </w:rPr>
        <w:t>LOS will be met with planned improvements set forth in the</w:t>
      </w:r>
      <w:r w:rsidR="00FE118C">
        <w:rPr>
          <w:rFonts w:ascii="Arial" w:hAnsi="Arial" w:cs="Arial"/>
          <w:sz w:val="15"/>
          <w:szCs w:val="15"/>
        </w:rPr>
        <w:t xml:space="preserve"> </w:t>
      </w:r>
      <w:r w:rsidR="00FE118C" w:rsidRPr="00FE118C">
        <w:rPr>
          <w:rFonts w:ascii="Arial" w:hAnsi="Arial" w:cs="Arial"/>
          <w:i/>
          <w:sz w:val="15"/>
          <w:szCs w:val="15"/>
        </w:rPr>
        <w:t>Whatcom County</w:t>
      </w:r>
      <w:r w:rsidR="00A2170E" w:rsidRPr="00FE118C">
        <w:rPr>
          <w:rFonts w:ascii="Arial" w:hAnsi="Arial" w:cs="Arial"/>
          <w:i/>
          <w:sz w:val="15"/>
          <w:szCs w:val="15"/>
        </w:rPr>
        <w:t xml:space="preserve"> Fire District #8 Capital Facilities Plan</w:t>
      </w:r>
      <w:r w:rsidR="00A2170E">
        <w:rPr>
          <w:rFonts w:ascii="Arial" w:hAnsi="Arial" w:cs="Arial"/>
          <w:sz w:val="15"/>
          <w:szCs w:val="15"/>
        </w:rPr>
        <w:t xml:space="preserve"> (</w:t>
      </w:r>
      <w:r w:rsidR="0028352D">
        <w:rPr>
          <w:rFonts w:ascii="Arial" w:hAnsi="Arial" w:cs="Arial"/>
          <w:sz w:val="15"/>
          <w:szCs w:val="15"/>
        </w:rPr>
        <w:t xml:space="preserve">June </w:t>
      </w:r>
      <w:r w:rsidR="00A2170E">
        <w:rPr>
          <w:rFonts w:ascii="Arial" w:hAnsi="Arial" w:cs="Arial"/>
          <w:sz w:val="15"/>
          <w:szCs w:val="15"/>
        </w:rPr>
        <w:t>2013)</w:t>
      </w:r>
      <w:r w:rsidR="003C1F84">
        <w:rPr>
          <w:rFonts w:ascii="Arial" w:hAnsi="Arial" w:cs="Arial"/>
          <w:sz w:val="15"/>
          <w:szCs w:val="15"/>
        </w:rPr>
        <w:t>.</w:t>
      </w:r>
    </w:p>
    <w:p w:rsidR="00A2170E" w:rsidRDefault="00AC507C" w:rsidP="00AC507C">
      <w:pPr>
        <w:pStyle w:val="BodyText"/>
        <w:tabs>
          <w:tab w:val="left" w:pos="270"/>
        </w:tabs>
        <w:spacing w:before="0" w:after="0" w:line="240" w:lineRule="auto"/>
        <w:ind w:left="270" w:hanging="270"/>
        <w:rPr>
          <w:rFonts w:ascii="Arial" w:hAnsi="Arial" w:cs="Arial"/>
          <w:sz w:val="15"/>
          <w:szCs w:val="15"/>
        </w:rPr>
      </w:pPr>
      <w:r>
        <w:rPr>
          <w:rFonts w:ascii="Arial" w:hAnsi="Arial" w:cs="Arial"/>
          <w:sz w:val="15"/>
          <w:szCs w:val="15"/>
        </w:rPr>
        <w:t>7</w:t>
      </w:r>
      <w:r w:rsidR="003C1F84">
        <w:rPr>
          <w:rFonts w:ascii="Arial" w:hAnsi="Arial" w:cs="Arial"/>
          <w:sz w:val="15"/>
          <w:szCs w:val="15"/>
        </w:rPr>
        <w:tab/>
      </w:r>
      <w:r w:rsidR="003C1F84" w:rsidRPr="00FE118C">
        <w:rPr>
          <w:rFonts w:ascii="Arial" w:hAnsi="Arial" w:cs="Arial"/>
          <w:i/>
          <w:sz w:val="15"/>
          <w:szCs w:val="15"/>
        </w:rPr>
        <w:t>Whatcom County Fire</w:t>
      </w:r>
      <w:r w:rsidR="00A2170E" w:rsidRPr="00FE118C">
        <w:rPr>
          <w:rFonts w:ascii="Arial" w:hAnsi="Arial" w:cs="Arial"/>
          <w:i/>
          <w:sz w:val="15"/>
          <w:szCs w:val="15"/>
        </w:rPr>
        <w:t xml:space="preserve"> District #14 Capital Facilities Plan</w:t>
      </w:r>
      <w:r w:rsidR="00A2170E">
        <w:rPr>
          <w:rFonts w:ascii="Arial" w:hAnsi="Arial" w:cs="Arial"/>
          <w:sz w:val="15"/>
          <w:szCs w:val="15"/>
        </w:rPr>
        <w:t xml:space="preserve"> (</w:t>
      </w:r>
      <w:r w:rsidR="0028352D">
        <w:rPr>
          <w:rFonts w:ascii="Arial" w:hAnsi="Arial" w:cs="Arial"/>
          <w:sz w:val="15"/>
          <w:szCs w:val="15"/>
        </w:rPr>
        <w:t xml:space="preserve">August </w:t>
      </w:r>
      <w:r w:rsidR="003D32D3">
        <w:rPr>
          <w:rFonts w:ascii="Arial" w:hAnsi="Arial" w:cs="Arial"/>
          <w:sz w:val="15"/>
          <w:szCs w:val="15"/>
        </w:rPr>
        <w:t>2015</w:t>
      </w:r>
      <w:r w:rsidR="00A2170E">
        <w:rPr>
          <w:rFonts w:ascii="Arial" w:hAnsi="Arial" w:cs="Arial"/>
          <w:sz w:val="15"/>
          <w:szCs w:val="15"/>
        </w:rPr>
        <w:t>)</w:t>
      </w:r>
      <w:r w:rsidR="003C1F84">
        <w:rPr>
          <w:rFonts w:ascii="Arial" w:hAnsi="Arial" w:cs="Arial"/>
          <w:sz w:val="15"/>
          <w:szCs w:val="15"/>
        </w:rPr>
        <w:t>.</w:t>
      </w:r>
    </w:p>
    <w:p w:rsidR="003C1F84" w:rsidRDefault="00AC507C" w:rsidP="00AC507C">
      <w:pPr>
        <w:pStyle w:val="BodyText"/>
        <w:tabs>
          <w:tab w:val="left" w:pos="270"/>
        </w:tabs>
        <w:spacing w:before="0" w:after="0" w:line="240" w:lineRule="auto"/>
        <w:ind w:left="270" w:hanging="270"/>
        <w:rPr>
          <w:rFonts w:ascii="Arial" w:hAnsi="Arial" w:cs="Arial"/>
          <w:sz w:val="15"/>
          <w:szCs w:val="15"/>
        </w:rPr>
      </w:pPr>
      <w:r>
        <w:rPr>
          <w:rFonts w:ascii="Arial" w:hAnsi="Arial" w:cs="Arial"/>
          <w:sz w:val="15"/>
          <w:szCs w:val="15"/>
        </w:rPr>
        <w:t>8</w:t>
      </w:r>
      <w:r w:rsidR="003C1F84" w:rsidRPr="003C1F84">
        <w:rPr>
          <w:rFonts w:ascii="Arial" w:hAnsi="Arial" w:cs="Arial"/>
          <w:sz w:val="15"/>
          <w:szCs w:val="15"/>
        </w:rPr>
        <w:tab/>
      </w:r>
      <w:r w:rsidR="00295883">
        <w:rPr>
          <w:rFonts w:ascii="Arial" w:hAnsi="Arial" w:cs="Arial"/>
          <w:i/>
          <w:sz w:val="15"/>
          <w:szCs w:val="15"/>
        </w:rPr>
        <w:t>North Whatcom County Fire &amp;</w:t>
      </w:r>
      <w:r w:rsidR="003C1F84" w:rsidRPr="00FE118C">
        <w:rPr>
          <w:rFonts w:ascii="Arial" w:hAnsi="Arial" w:cs="Arial"/>
          <w:i/>
          <w:sz w:val="15"/>
          <w:szCs w:val="15"/>
        </w:rPr>
        <w:t xml:space="preserve"> Rescue and Fire District # 4 Capital Facilities Plan</w:t>
      </w:r>
      <w:r w:rsidR="003C1F84" w:rsidRPr="003C1F84">
        <w:rPr>
          <w:rFonts w:ascii="Arial" w:hAnsi="Arial" w:cs="Arial"/>
          <w:sz w:val="15"/>
          <w:szCs w:val="15"/>
        </w:rPr>
        <w:t xml:space="preserve"> (</w:t>
      </w:r>
      <w:r w:rsidR="001E5E88">
        <w:rPr>
          <w:rFonts w:ascii="Arial" w:hAnsi="Arial" w:cs="Arial"/>
          <w:sz w:val="15"/>
          <w:szCs w:val="15"/>
        </w:rPr>
        <w:t>May</w:t>
      </w:r>
      <w:r w:rsidR="003C1F84">
        <w:rPr>
          <w:rFonts w:ascii="Arial" w:hAnsi="Arial" w:cs="Arial"/>
          <w:sz w:val="15"/>
          <w:szCs w:val="15"/>
        </w:rPr>
        <w:t xml:space="preserve"> 2016</w:t>
      </w:r>
      <w:r w:rsidR="003C1F84" w:rsidRPr="003C1F84">
        <w:rPr>
          <w:rFonts w:ascii="Arial" w:hAnsi="Arial" w:cs="Arial"/>
          <w:sz w:val="15"/>
          <w:szCs w:val="15"/>
        </w:rPr>
        <w:t>)</w:t>
      </w:r>
      <w:r w:rsidR="003C1F84">
        <w:rPr>
          <w:rFonts w:ascii="Arial" w:hAnsi="Arial" w:cs="Arial"/>
          <w:sz w:val="15"/>
          <w:szCs w:val="15"/>
        </w:rPr>
        <w:t>.</w:t>
      </w:r>
    </w:p>
    <w:p w:rsidR="00B31042" w:rsidRPr="00373D16" w:rsidRDefault="00AC507C" w:rsidP="00373D16">
      <w:pPr>
        <w:pStyle w:val="BodyText"/>
        <w:tabs>
          <w:tab w:val="left" w:pos="270"/>
        </w:tabs>
        <w:spacing w:before="0" w:after="0" w:line="240" w:lineRule="auto"/>
        <w:ind w:left="270" w:hanging="270"/>
        <w:rPr>
          <w:rFonts w:ascii="Arial" w:hAnsi="Arial" w:cs="Arial"/>
          <w:sz w:val="15"/>
          <w:szCs w:val="15"/>
        </w:rPr>
      </w:pPr>
      <w:r>
        <w:rPr>
          <w:rFonts w:ascii="Arial" w:hAnsi="Arial" w:cs="Arial"/>
          <w:sz w:val="15"/>
          <w:szCs w:val="15"/>
        </w:rPr>
        <w:t>9</w:t>
      </w:r>
      <w:r w:rsidR="003C1F84" w:rsidRPr="003C1F84">
        <w:rPr>
          <w:rFonts w:ascii="Arial" w:hAnsi="Arial" w:cs="Arial"/>
          <w:sz w:val="15"/>
          <w:szCs w:val="15"/>
        </w:rPr>
        <w:tab/>
      </w:r>
      <w:r w:rsidR="003C1F84" w:rsidRPr="003C1F84">
        <w:rPr>
          <w:rFonts w:ascii="Arial" w:hAnsi="Arial" w:cs="Arial"/>
          <w:i/>
          <w:sz w:val="15"/>
          <w:szCs w:val="15"/>
        </w:rPr>
        <w:t>Final EIS Whatcom County 2016 Comprehensive Plan and Development Regulations Update and Urban Growth Areas Review</w:t>
      </w:r>
      <w:r w:rsidR="003C1F84" w:rsidRPr="003C1F84">
        <w:rPr>
          <w:rFonts w:ascii="Arial" w:hAnsi="Arial" w:cs="Arial"/>
          <w:sz w:val="15"/>
          <w:szCs w:val="15"/>
        </w:rPr>
        <w:t xml:space="preserve"> (November 2015</w:t>
      </w:r>
      <w:r w:rsidR="003C1F84">
        <w:rPr>
          <w:rFonts w:ascii="Arial" w:hAnsi="Arial" w:cs="Arial"/>
          <w:sz w:val="15"/>
          <w:szCs w:val="15"/>
        </w:rPr>
        <w:t xml:space="preserve">, p. </w:t>
      </w:r>
      <w:r w:rsidR="003C1F84" w:rsidRPr="003C1F84">
        <w:rPr>
          <w:rFonts w:ascii="Arial" w:hAnsi="Arial" w:cs="Arial"/>
          <w:sz w:val="15"/>
          <w:szCs w:val="15"/>
        </w:rPr>
        <w:t>3-19).</w:t>
      </w:r>
    </w:p>
    <w:p w:rsidR="00B31042" w:rsidRPr="00B31042" w:rsidRDefault="0016410F" w:rsidP="00B31042">
      <w:pPr>
        <w:pStyle w:val="TableTitle"/>
        <w:rPr>
          <w:vertAlign w:val="superscript"/>
        </w:rPr>
      </w:pPr>
      <w:r>
        <w:lastRenderedPageBreak/>
        <w:t>Table 14.3</w:t>
      </w:r>
      <w:r>
        <w:tab/>
      </w:r>
      <w:r w:rsidR="00B31042">
        <w:t>LOS Analysis – Fire Districts Serving Rural Areas</w:t>
      </w:r>
    </w:p>
    <w:tbl>
      <w:tblPr>
        <w:tblW w:w="8933" w:type="dxa"/>
        <w:tblInd w:w="115" w:type="dxa"/>
        <w:tblLook w:val="04A0" w:firstRow="1" w:lastRow="0" w:firstColumn="1" w:lastColumn="0" w:noHBand="0" w:noVBand="1"/>
      </w:tblPr>
      <w:tblGrid>
        <w:gridCol w:w="1437"/>
        <w:gridCol w:w="1706"/>
        <w:gridCol w:w="2070"/>
        <w:gridCol w:w="1710"/>
        <w:gridCol w:w="450"/>
        <w:gridCol w:w="1560"/>
      </w:tblGrid>
      <w:tr w:rsidR="00B31042" w:rsidTr="00512379">
        <w:trPr>
          <w:cantSplit/>
          <w:trHeight w:val="530"/>
          <w:tblHeader/>
        </w:trPr>
        <w:tc>
          <w:tcPr>
            <w:tcW w:w="1437"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r>
              <w:rPr>
                <w:sz w:val="18"/>
                <w:szCs w:val="18"/>
              </w:rPr>
              <w:t>Fire District</w:t>
            </w:r>
          </w:p>
        </w:tc>
        <w:tc>
          <w:tcPr>
            <w:tcW w:w="1706"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p>
        </w:tc>
        <w:tc>
          <w:tcPr>
            <w:tcW w:w="2070"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r>
              <w:rPr>
                <w:sz w:val="18"/>
                <w:szCs w:val="18"/>
              </w:rPr>
              <w:t xml:space="preserve">WSRB Rating </w:t>
            </w:r>
          </w:p>
          <w:p w:rsidR="00B31042" w:rsidRDefault="00B31042" w:rsidP="00EF3BAA">
            <w:pPr>
              <w:pStyle w:val="TableHeader"/>
              <w:rPr>
                <w:sz w:val="18"/>
                <w:szCs w:val="18"/>
              </w:rPr>
            </w:pPr>
            <w:r>
              <w:rPr>
                <w:sz w:val="18"/>
                <w:szCs w:val="18"/>
              </w:rPr>
              <w:t>Standard</w:t>
            </w:r>
          </w:p>
        </w:tc>
        <w:tc>
          <w:tcPr>
            <w:tcW w:w="1710"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r>
              <w:rPr>
                <w:sz w:val="18"/>
                <w:szCs w:val="18"/>
              </w:rPr>
              <w:t xml:space="preserve">Response Time </w:t>
            </w:r>
          </w:p>
          <w:p w:rsidR="00B31042" w:rsidRDefault="00B31042" w:rsidP="00EF3BAA">
            <w:pPr>
              <w:pStyle w:val="TableHeader"/>
              <w:rPr>
                <w:sz w:val="18"/>
                <w:szCs w:val="18"/>
              </w:rPr>
            </w:pPr>
            <w:r>
              <w:rPr>
                <w:sz w:val="18"/>
                <w:szCs w:val="18"/>
              </w:rPr>
              <w:t xml:space="preserve">Standard </w:t>
            </w:r>
          </w:p>
        </w:tc>
        <w:tc>
          <w:tcPr>
            <w:tcW w:w="450"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p>
        </w:tc>
        <w:tc>
          <w:tcPr>
            <w:tcW w:w="1560" w:type="dxa"/>
            <w:tcBorders>
              <w:top w:val="single" w:sz="4" w:space="0" w:color="auto"/>
              <w:left w:val="nil"/>
              <w:bottom w:val="single" w:sz="4" w:space="0" w:color="auto"/>
              <w:right w:val="nil"/>
            </w:tcBorders>
            <w:shd w:val="clear" w:color="auto" w:fill="D9D9D9" w:themeFill="background1" w:themeFillShade="D9"/>
            <w:vAlign w:val="bottom"/>
            <w:hideMark/>
          </w:tcPr>
          <w:p w:rsidR="00B31042" w:rsidRDefault="00B31042" w:rsidP="00EF3BAA">
            <w:pPr>
              <w:pStyle w:val="TableHeader"/>
              <w:rPr>
                <w:sz w:val="18"/>
                <w:szCs w:val="18"/>
              </w:rPr>
            </w:pPr>
            <w:r>
              <w:rPr>
                <w:sz w:val="18"/>
                <w:szCs w:val="18"/>
              </w:rPr>
              <w:t xml:space="preserve">Meets </w:t>
            </w:r>
          </w:p>
          <w:p w:rsidR="00B31042" w:rsidRDefault="00B31042" w:rsidP="00EF3BAA">
            <w:pPr>
              <w:pStyle w:val="TableHeader"/>
              <w:rPr>
                <w:sz w:val="18"/>
                <w:szCs w:val="18"/>
              </w:rPr>
            </w:pPr>
            <w:r>
              <w:rPr>
                <w:sz w:val="18"/>
                <w:szCs w:val="18"/>
              </w:rPr>
              <w:t>Adopted LOS?</w:t>
            </w:r>
          </w:p>
        </w:tc>
      </w:tr>
      <w:tr w:rsidR="00B31042" w:rsidTr="00512379">
        <w:trPr>
          <w:trHeight w:val="818"/>
        </w:trPr>
        <w:tc>
          <w:tcPr>
            <w:tcW w:w="1437" w:type="dxa"/>
            <w:tcBorders>
              <w:top w:val="single" w:sz="4" w:space="0" w:color="auto"/>
              <w:left w:val="nil"/>
              <w:bottom w:val="single" w:sz="4" w:space="0" w:color="auto"/>
              <w:right w:val="nil"/>
            </w:tcBorders>
          </w:tcPr>
          <w:p w:rsidR="00B31042" w:rsidRDefault="00B31042" w:rsidP="00EF3BAA">
            <w:pPr>
              <w:pStyle w:val="TableText"/>
            </w:pPr>
            <w:r>
              <w:t>Fire District 5</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tcPr>
          <w:p w:rsidR="00D54F8C" w:rsidRDefault="00D54F8C" w:rsidP="00EF3BAA">
            <w:pPr>
              <w:pStyle w:val="TableText"/>
              <w:jc w:val="center"/>
            </w:pPr>
          </w:p>
          <w:p w:rsidR="00B31042" w:rsidRDefault="004D69D7" w:rsidP="00EF3BAA">
            <w:pPr>
              <w:pStyle w:val="TableText"/>
              <w:jc w:val="center"/>
            </w:pPr>
            <w:r>
              <w:t>8</w:t>
            </w:r>
          </w:p>
        </w:tc>
        <w:tc>
          <w:tcPr>
            <w:tcW w:w="1710" w:type="dxa"/>
            <w:tcBorders>
              <w:top w:val="single" w:sz="4" w:space="0" w:color="auto"/>
              <w:left w:val="nil"/>
              <w:bottom w:val="single" w:sz="4" w:space="0" w:color="auto"/>
              <w:right w:val="nil"/>
            </w:tcBorders>
          </w:tcPr>
          <w:p w:rsidR="00B31042" w:rsidRDefault="00B31042" w:rsidP="00D54F8C">
            <w:pPr>
              <w:pStyle w:val="TableText"/>
              <w:jc w:val="center"/>
            </w:pPr>
            <w:r>
              <w:t>14 minutes</w:t>
            </w:r>
            <w:r w:rsidR="004D69D7">
              <w:t xml:space="preserve"> 80% of the time</w:t>
            </w:r>
          </w:p>
        </w:tc>
        <w:tc>
          <w:tcPr>
            <w:tcW w:w="450" w:type="dxa"/>
            <w:tcBorders>
              <w:top w:val="single" w:sz="4" w:space="0" w:color="auto"/>
              <w:left w:val="nil"/>
              <w:bottom w:val="single" w:sz="4" w:space="0" w:color="auto"/>
              <w:right w:val="nil"/>
            </w:tcBorders>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tcPr>
          <w:p w:rsidR="00B31042" w:rsidRDefault="00B31042" w:rsidP="00EF3BAA">
            <w:pPr>
              <w:pStyle w:val="TableText"/>
              <w:jc w:val="center"/>
            </w:pPr>
            <w:r>
              <w:t>Yes</w:t>
            </w:r>
            <w:r>
              <w:rPr>
                <w:vertAlign w:val="superscript"/>
              </w:rPr>
              <w:t>1</w:t>
            </w:r>
          </w:p>
        </w:tc>
      </w:tr>
      <w:tr w:rsidR="00B31042" w:rsidTr="00EF3BAA">
        <w:trPr>
          <w:trHeight w:val="818"/>
        </w:trPr>
        <w:tc>
          <w:tcPr>
            <w:tcW w:w="1437" w:type="dxa"/>
            <w:tcBorders>
              <w:top w:val="single" w:sz="4" w:space="0" w:color="auto"/>
              <w:left w:val="nil"/>
              <w:bottom w:val="single" w:sz="4" w:space="0" w:color="auto"/>
              <w:right w:val="nil"/>
            </w:tcBorders>
            <w:hideMark/>
          </w:tcPr>
          <w:p w:rsidR="00B31042" w:rsidRDefault="00B31042" w:rsidP="00EF3BAA">
            <w:pPr>
              <w:pStyle w:val="TableText"/>
            </w:pPr>
            <w:r>
              <w:t>Fire District 11</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hideMark/>
          </w:tcPr>
          <w:p w:rsidR="00D54F8C" w:rsidRDefault="00D54F8C" w:rsidP="00EF3BAA">
            <w:pPr>
              <w:pStyle w:val="TableText"/>
              <w:jc w:val="center"/>
            </w:pPr>
          </w:p>
          <w:p w:rsidR="00B31042" w:rsidRDefault="004D69D7" w:rsidP="00EF3BAA">
            <w:pPr>
              <w:pStyle w:val="TableText"/>
              <w:jc w:val="center"/>
            </w:pPr>
            <w:r>
              <w:t>8</w:t>
            </w:r>
          </w:p>
        </w:tc>
        <w:tc>
          <w:tcPr>
            <w:tcW w:w="1710" w:type="dxa"/>
            <w:tcBorders>
              <w:top w:val="single" w:sz="4" w:space="0" w:color="auto"/>
              <w:left w:val="nil"/>
              <w:bottom w:val="single" w:sz="4" w:space="0" w:color="auto"/>
              <w:right w:val="nil"/>
            </w:tcBorders>
            <w:hideMark/>
          </w:tcPr>
          <w:p w:rsidR="00B31042" w:rsidRDefault="00D54F8C" w:rsidP="00EF3BAA">
            <w:pPr>
              <w:pStyle w:val="TableText"/>
              <w:jc w:val="center"/>
            </w:pPr>
            <w:r w:rsidRPr="00D54F8C">
              <w:t xml:space="preserve">14 minutes 80% of </w:t>
            </w:r>
            <w:r w:rsidR="004D69D7">
              <w:t>the time</w:t>
            </w:r>
          </w:p>
        </w:tc>
        <w:tc>
          <w:tcPr>
            <w:tcW w:w="450" w:type="dxa"/>
            <w:tcBorders>
              <w:top w:val="single" w:sz="4" w:space="0" w:color="auto"/>
              <w:left w:val="nil"/>
              <w:bottom w:val="single" w:sz="4" w:space="0" w:color="auto"/>
              <w:right w:val="nil"/>
            </w:tcBorders>
            <w:hideMark/>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hideMark/>
          </w:tcPr>
          <w:p w:rsidR="00B31042" w:rsidRDefault="00B31042" w:rsidP="00EF3BAA">
            <w:pPr>
              <w:pStyle w:val="TableText"/>
              <w:jc w:val="center"/>
            </w:pPr>
            <w:r>
              <w:t>Yes</w:t>
            </w:r>
            <w:r w:rsidR="00D54F8C">
              <w:rPr>
                <w:vertAlign w:val="superscript"/>
              </w:rPr>
              <w:t>1</w:t>
            </w:r>
          </w:p>
        </w:tc>
      </w:tr>
      <w:tr w:rsidR="00B31042" w:rsidTr="00EF3BAA">
        <w:trPr>
          <w:trHeight w:val="818"/>
        </w:trPr>
        <w:tc>
          <w:tcPr>
            <w:tcW w:w="1437" w:type="dxa"/>
            <w:tcBorders>
              <w:top w:val="single" w:sz="4" w:space="0" w:color="auto"/>
              <w:left w:val="nil"/>
              <w:bottom w:val="single" w:sz="4" w:space="0" w:color="auto"/>
              <w:right w:val="nil"/>
            </w:tcBorders>
          </w:tcPr>
          <w:p w:rsidR="00B31042" w:rsidRDefault="00B31042" w:rsidP="00EF3BAA">
            <w:pPr>
              <w:pStyle w:val="TableText"/>
            </w:pPr>
            <w:r>
              <w:t>Fire District 16</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tcPr>
          <w:p w:rsidR="00B31042" w:rsidRDefault="00B31042" w:rsidP="00EF3BAA">
            <w:pPr>
              <w:pStyle w:val="TableText"/>
              <w:jc w:val="center"/>
            </w:pPr>
          </w:p>
          <w:p w:rsidR="00D54F8C" w:rsidRDefault="004D69D7" w:rsidP="00EF3BAA">
            <w:pPr>
              <w:pStyle w:val="TableText"/>
              <w:jc w:val="center"/>
            </w:pPr>
            <w:r>
              <w:t>8</w:t>
            </w:r>
          </w:p>
        </w:tc>
        <w:tc>
          <w:tcPr>
            <w:tcW w:w="1710" w:type="dxa"/>
            <w:tcBorders>
              <w:top w:val="single" w:sz="4" w:space="0" w:color="auto"/>
              <w:left w:val="nil"/>
              <w:bottom w:val="single" w:sz="4" w:space="0" w:color="auto"/>
              <w:right w:val="nil"/>
            </w:tcBorders>
          </w:tcPr>
          <w:p w:rsidR="00B31042" w:rsidRDefault="00D54F8C" w:rsidP="00EF3BAA">
            <w:pPr>
              <w:pStyle w:val="TableText"/>
              <w:jc w:val="center"/>
            </w:pPr>
            <w:r w:rsidRPr="00D54F8C">
              <w:t>14 minutes</w:t>
            </w:r>
            <w:r w:rsidR="004D69D7">
              <w:t xml:space="preserve"> 80% of the time</w:t>
            </w:r>
          </w:p>
        </w:tc>
        <w:tc>
          <w:tcPr>
            <w:tcW w:w="450" w:type="dxa"/>
            <w:tcBorders>
              <w:top w:val="single" w:sz="4" w:space="0" w:color="auto"/>
              <w:left w:val="nil"/>
              <w:bottom w:val="single" w:sz="4" w:space="0" w:color="auto"/>
              <w:right w:val="nil"/>
            </w:tcBorders>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tcPr>
          <w:p w:rsidR="00B31042" w:rsidRPr="009663C6" w:rsidRDefault="00B31042" w:rsidP="00EF3BAA">
            <w:pPr>
              <w:pStyle w:val="TableText"/>
              <w:jc w:val="center"/>
              <w:rPr>
                <w:vertAlign w:val="superscript"/>
              </w:rPr>
            </w:pPr>
            <w:r>
              <w:t>Yes</w:t>
            </w:r>
            <w:r w:rsidR="00D54F8C">
              <w:rPr>
                <w:vertAlign w:val="superscript"/>
              </w:rPr>
              <w:t>1</w:t>
            </w:r>
          </w:p>
        </w:tc>
      </w:tr>
      <w:tr w:rsidR="00B31042" w:rsidTr="00EF3BAA">
        <w:trPr>
          <w:trHeight w:val="818"/>
        </w:trPr>
        <w:tc>
          <w:tcPr>
            <w:tcW w:w="1437" w:type="dxa"/>
            <w:tcBorders>
              <w:top w:val="single" w:sz="4" w:space="0" w:color="auto"/>
              <w:left w:val="nil"/>
              <w:bottom w:val="single" w:sz="4" w:space="0" w:color="auto"/>
              <w:right w:val="nil"/>
            </w:tcBorders>
          </w:tcPr>
          <w:p w:rsidR="00B31042" w:rsidRDefault="00B31042" w:rsidP="00EF3BAA">
            <w:pPr>
              <w:pStyle w:val="TableText"/>
            </w:pPr>
            <w:r>
              <w:t>Fire District 17</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tcPr>
          <w:p w:rsidR="00B31042" w:rsidRDefault="00B31042" w:rsidP="00B31042">
            <w:pPr>
              <w:pStyle w:val="TableText"/>
            </w:pPr>
          </w:p>
          <w:p w:rsidR="00B31042" w:rsidRDefault="004D69D7" w:rsidP="00EF3BAA">
            <w:pPr>
              <w:pStyle w:val="TableText"/>
              <w:jc w:val="center"/>
            </w:pPr>
            <w:r>
              <w:t>8</w:t>
            </w:r>
          </w:p>
        </w:tc>
        <w:tc>
          <w:tcPr>
            <w:tcW w:w="1710" w:type="dxa"/>
            <w:tcBorders>
              <w:top w:val="single" w:sz="4" w:space="0" w:color="auto"/>
              <w:left w:val="nil"/>
              <w:bottom w:val="single" w:sz="4" w:space="0" w:color="auto"/>
              <w:right w:val="nil"/>
            </w:tcBorders>
          </w:tcPr>
          <w:p w:rsidR="00B31042" w:rsidRDefault="00D54F8C" w:rsidP="00EF3BAA">
            <w:pPr>
              <w:pStyle w:val="TableText"/>
              <w:jc w:val="center"/>
            </w:pPr>
            <w:r w:rsidRPr="00D54F8C">
              <w:t>14 minutes</w:t>
            </w:r>
            <w:r w:rsidR="004D69D7">
              <w:t xml:space="preserve"> 80% of the time</w:t>
            </w:r>
          </w:p>
        </w:tc>
        <w:tc>
          <w:tcPr>
            <w:tcW w:w="450" w:type="dxa"/>
            <w:tcBorders>
              <w:top w:val="single" w:sz="4" w:space="0" w:color="auto"/>
              <w:left w:val="nil"/>
              <w:bottom w:val="single" w:sz="4" w:space="0" w:color="auto"/>
              <w:right w:val="nil"/>
            </w:tcBorders>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tcPr>
          <w:p w:rsidR="00B31042" w:rsidRPr="003D237B" w:rsidRDefault="00B31042" w:rsidP="00EF3BAA">
            <w:pPr>
              <w:pStyle w:val="TableText"/>
              <w:jc w:val="center"/>
            </w:pPr>
            <w:r>
              <w:t>Yes</w:t>
            </w:r>
            <w:r w:rsidR="00D54F8C">
              <w:rPr>
                <w:vertAlign w:val="superscript"/>
              </w:rPr>
              <w:t>1</w:t>
            </w:r>
          </w:p>
        </w:tc>
      </w:tr>
      <w:tr w:rsidR="00B31042" w:rsidTr="00EF3BAA">
        <w:trPr>
          <w:trHeight w:val="818"/>
        </w:trPr>
        <w:tc>
          <w:tcPr>
            <w:tcW w:w="1437" w:type="dxa"/>
            <w:tcBorders>
              <w:top w:val="single" w:sz="4" w:space="0" w:color="auto"/>
              <w:left w:val="nil"/>
              <w:bottom w:val="single" w:sz="4" w:space="0" w:color="auto"/>
              <w:right w:val="nil"/>
            </w:tcBorders>
          </w:tcPr>
          <w:p w:rsidR="00B31042" w:rsidRDefault="00B31042" w:rsidP="00EF3BAA">
            <w:pPr>
              <w:pStyle w:val="TableText"/>
            </w:pPr>
            <w:r>
              <w:t>Fire District 18</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tcPr>
          <w:p w:rsidR="00B31042" w:rsidRDefault="00B31042" w:rsidP="00EF3BAA">
            <w:pPr>
              <w:pStyle w:val="TableText"/>
              <w:jc w:val="center"/>
            </w:pPr>
          </w:p>
          <w:p w:rsidR="00D54F8C" w:rsidRDefault="004D69D7" w:rsidP="00EF3BAA">
            <w:pPr>
              <w:pStyle w:val="TableText"/>
              <w:jc w:val="center"/>
            </w:pPr>
            <w:r>
              <w:t>8</w:t>
            </w:r>
          </w:p>
        </w:tc>
        <w:tc>
          <w:tcPr>
            <w:tcW w:w="1710" w:type="dxa"/>
            <w:tcBorders>
              <w:top w:val="single" w:sz="4" w:space="0" w:color="auto"/>
              <w:left w:val="nil"/>
              <w:bottom w:val="single" w:sz="4" w:space="0" w:color="auto"/>
              <w:right w:val="nil"/>
            </w:tcBorders>
          </w:tcPr>
          <w:p w:rsidR="00B31042" w:rsidRDefault="00D54F8C" w:rsidP="00EF3BAA">
            <w:pPr>
              <w:pStyle w:val="TableText"/>
              <w:jc w:val="center"/>
            </w:pPr>
            <w:r w:rsidRPr="00D54F8C">
              <w:t xml:space="preserve">14 minutes </w:t>
            </w:r>
            <w:r w:rsidR="004D69D7">
              <w:t>80% of the time</w:t>
            </w:r>
          </w:p>
        </w:tc>
        <w:tc>
          <w:tcPr>
            <w:tcW w:w="450" w:type="dxa"/>
            <w:tcBorders>
              <w:top w:val="single" w:sz="4" w:space="0" w:color="auto"/>
              <w:left w:val="nil"/>
              <w:bottom w:val="single" w:sz="4" w:space="0" w:color="auto"/>
              <w:right w:val="nil"/>
            </w:tcBorders>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tcPr>
          <w:p w:rsidR="00B31042" w:rsidRDefault="00D54F8C" w:rsidP="00EF3BAA">
            <w:pPr>
              <w:pStyle w:val="TableText"/>
              <w:jc w:val="center"/>
            </w:pPr>
            <w:r w:rsidRPr="00D54F8C">
              <w:t>Yes</w:t>
            </w:r>
            <w:r w:rsidRPr="00D54F8C">
              <w:rPr>
                <w:vertAlign w:val="superscript"/>
              </w:rPr>
              <w:t>1</w:t>
            </w:r>
          </w:p>
        </w:tc>
      </w:tr>
      <w:tr w:rsidR="00B31042" w:rsidTr="00EF3BAA">
        <w:trPr>
          <w:trHeight w:val="818"/>
        </w:trPr>
        <w:tc>
          <w:tcPr>
            <w:tcW w:w="1437" w:type="dxa"/>
            <w:tcBorders>
              <w:top w:val="single" w:sz="4" w:space="0" w:color="auto"/>
              <w:left w:val="nil"/>
              <w:bottom w:val="single" w:sz="4" w:space="0" w:color="auto"/>
              <w:right w:val="nil"/>
            </w:tcBorders>
          </w:tcPr>
          <w:p w:rsidR="00B31042" w:rsidRDefault="00B31042" w:rsidP="00EF3BAA">
            <w:pPr>
              <w:pStyle w:val="TableText"/>
            </w:pPr>
            <w:r>
              <w:t>Glacier Fire District 19</w:t>
            </w:r>
          </w:p>
        </w:tc>
        <w:tc>
          <w:tcPr>
            <w:tcW w:w="1706" w:type="dxa"/>
            <w:tcBorders>
              <w:top w:val="single" w:sz="4" w:space="0" w:color="auto"/>
              <w:left w:val="nil"/>
              <w:bottom w:val="single" w:sz="4" w:space="0" w:color="auto"/>
              <w:right w:val="nil"/>
            </w:tcBorders>
          </w:tcPr>
          <w:p w:rsidR="00B31042" w:rsidRDefault="00B31042" w:rsidP="00EF3BAA">
            <w:pPr>
              <w:pStyle w:val="TableText"/>
              <w:jc w:val="center"/>
            </w:pPr>
          </w:p>
        </w:tc>
        <w:tc>
          <w:tcPr>
            <w:tcW w:w="2070" w:type="dxa"/>
            <w:tcBorders>
              <w:top w:val="single" w:sz="4" w:space="0" w:color="auto"/>
              <w:left w:val="nil"/>
              <w:bottom w:val="single" w:sz="4" w:space="0" w:color="auto"/>
              <w:right w:val="nil"/>
            </w:tcBorders>
          </w:tcPr>
          <w:p w:rsidR="00B31042" w:rsidRDefault="00B31042" w:rsidP="00EF3BAA">
            <w:pPr>
              <w:pStyle w:val="TableText"/>
              <w:jc w:val="center"/>
            </w:pPr>
          </w:p>
          <w:p w:rsidR="00D54F8C" w:rsidRDefault="004D69D7" w:rsidP="00EF3BAA">
            <w:pPr>
              <w:pStyle w:val="TableText"/>
              <w:jc w:val="center"/>
            </w:pPr>
            <w:r>
              <w:t>8</w:t>
            </w:r>
          </w:p>
        </w:tc>
        <w:tc>
          <w:tcPr>
            <w:tcW w:w="1710" w:type="dxa"/>
            <w:tcBorders>
              <w:top w:val="single" w:sz="4" w:space="0" w:color="auto"/>
              <w:left w:val="nil"/>
              <w:bottom w:val="single" w:sz="4" w:space="0" w:color="auto"/>
              <w:right w:val="nil"/>
            </w:tcBorders>
          </w:tcPr>
          <w:p w:rsidR="00B31042" w:rsidRDefault="00D54F8C" w:rsidP="00EF3BAA">
            <w:pPr>
              <w:pStyle w:val="TableText"/>
              <w:jc w:val="center"/>
            </w:pPr>
            <w:r w:rsidRPr="00D54F8C">
              <w:t>14 minutes</w:t>
            </w:r>
            <w:r w:rsidR="004D69D7">
              <w:t xml:space="preserve"> 80% of the time</w:t>
            </w:r>
          </w:p>
        </w:tc>
        <w:tc>
          <w:tcPr>
            <w:tcW w:w="450" w:type="dxa"/>
            <w:tcBorders>
              <w:top w:val="single" w:sz="4" w:space="0" w:color="auto"/>
              <w:left w:val="nil"/>
              <w:bottom w:val="single" w:sz="4" w:space="0" w:color="auto"/>
              <w:right w:val="nil"/>
            </w:tcBorders>
          </w:tcPr>
          <w:p w:rsidR="00B31042" w:rsidRDefault="00B31042" w:rsidP="00EF3BAA">
            <w:pPr>
              <w:pStyle w:val="TableText"/>
              <w:jc w:val="center"/>
            </w:pPr>
          </w:p>
        </w:tc>
        <w:tc>
          <w:tcPr>
            <w:tcW w:w="1560" w:type="dxa"/>
            <w:tcBorders>
              <w:top w:val="single" w:sz="4" w:space="0" w:color="auto"/>
              <w:left w:val="nil"/>
              <w:bottom w:val="single" w:sz="4" w:space="0" w:color="auto"/>
              <w:right w:val="nil"/>
            </w:tcBorders>
          </w:tcPr>
          <w:p w:rsidR="00B31042" w:rsidRDefault="00B31042" w:rsidP="00EF3BAA">
            <w:pPr>
              <w:pStyle w:val="TableText"/>
              <w:jc w:val="center"/>
            </w:pPr>
            <w:r>
              <w:t>Yes</w:t>
            </w:r>
            <w:r w:rsidR="00D54F8C">
              <w:rPr>
                <w:vertAlign w:val="superscript"/>
              </w:rPr>
              <w:t>1</w:t>
            </w:r>
          </w:p>
        </w:tc>
      </w:tr>
    </w:tbl>
    <w:p w:rsidR="00B31042" w:rsidRPr="00FF63DE" w:rsidRDefault="00D54F8C" w:rsidP="00A2170E">
      <w:pPr>
        <w:pStyle w:val="BodyText"/>
        <w:tabs>
          <w:tab w:val="left" w:pos="270"/>
        </w:tabs>
        <w:ind w:left="270" w:hanging="270"/>
        <w:rPr>
          <w:rFonts w:ascii="Arial" w:hAnsi="Arial" w:cs="Arial"/>
          <w:sz w:val="15"/>
          <w:szCs w:val="15"/>
        </w:rPr>
      </w:pPr>
      <w:r>
        <w:rPr>
          <w:rFonts w:ascii="Arial" w:hAnsi="Arial" w:cs="Arial"/>
          <w:sz w:val="15"/>
          <w:szCs w:val="15"/>
        </w:rPr>
        <w:t>1</w:t>
      </w:r>
      <w:r>
        <w:rPr>
          <w:rFonts w:ascii="Arial" w:hAnsi="Arial" w:cs="Arial"/>
          <w:sz w:val="15"/>
          <w:szCs w:val="15"/>
        </w:rPr>
        <w:tab/>
      </w:r>
      <w:r w:rsidR="003C1F84" w:rsidRPr="003C1F84">
        <w:rPr>
          <w:rFonts w:ascii="Arial" w:hAnsi="Arial" w:cs="Arial"/>
          <w:i/>
          <w:sz w:val="15"/>
          <w:szCs w:val="15"/>
        </w:rPr>
        <w:t>Final EIS Whatcom County 2016 Comprehensive Plan and Development Regulations Update and Urban Growth Areas Review</w:t>
      </w:r>
      <w:r w:rsidR="003C1F84" w:rsidRPr="003C1F84">
        <w:rPr>
          <w:rFonts w:ascii="Arial" w:hAnsi="Arial" w:cs="Arial"/>
          <w:sz w:val="15"/>
          <w:szCs w:val="15"/>
        </w:rPr>
        <w:t xml:space="preserve"> (November 2015</w:t>
      </w:r>
      <w:r w:rsidR="003C1F84">
        <w:rPr>
          <w:rFonts w:ascii="Arial" w:hAnsi="Arial" w:cs="Arial"/>
          <w:sz w:val="15"/>
          <w:szCs w:val="15"/>
        </w:rPr>
        <w:t>, pp. 3-18 and 3-19</w:t>
      </w:r>
      <w:r w:rsidR="003C1F84" w:rsidRPr="003C1F84">
        <w:rPr>
          <w:rFonts w:ascii="Arial" w:hAnsi="Arial" w:cs="Arial"/>
          <w:sz w:val="15"/>
          <w:szCs w:val="15"/>
        </w:rPr>
        <w:t>)</w:t>
      </w:r>
      <w:r w:rsidR="003C1F84">
        <w:rPr>
          <w:rFonts w:ascii="Arial" w:hAnsi="Arial" w:cs="Arial"/>
          <w:sz w:val="15"/>
          <w:szCs w:val="15"/>
        </w:rPr>
        <w:t>.</w:t>
      </w:r>
    </w:p>
    <w:p w:rsidR="00A2170E" w:rsidRDefault="00A2170E" w:rsidP="00A2170E">
      <w:pPr>
        <w:pStyle w:val="Heading3"/>
      </w:pPr>
      <w:bookmarkStart w:id="54" w:name="_Toc245621881"/>
      <w:r>
        <w:t>Capital Projects and Funding</w:t>
      </w:r>
      <w:bookmarkEnd w:id="54"/>
    </w:p>
    <w:p w:rsidR="00A2170E" w:rsidRDefault="00A2170E" w:rsidP="00A2170E">
      <w:pPr>
        <w:pStyle w:val="Heading4"/>
      </w:pPr>
      <w:r>
        <w:t>Capital Project Funding</w:t>
      </w:r>
    </w:p>
    <w:p w:rsidR="00A2170E" w:rsidRDefault="00A2170E" w:rsidP="00A2170E">
      <w:pPr>
        <w:pStyle w:val="BodyText"/>
      </w:pPr>
      <w:r>
        <w:t>Fire Districts usually fund needed capital improvements through a combination of reve</w:t>
      </w:r>
      <w:r w:rsidR="00AD66D4">
        <w:t>nue sour</w:t>
      </w:r>
      <w:r w:rsidR="00AA37F2">
        <w:t xml:space="preserve">ces. These can include </w:t>
      </w:r>
      <w:r>
        <w:t>pr</w:t>
      </w:r>
      <w:r w:rsidR="00821DBE">
        <w:t xml:space="preserve">operty tax levies, cash reserves, </w:t>
      </w:r>
      <w:r>
        <w:t>cap</w:t>
      </w:r>
      <w:r w:rsidR="00AA37F2">
        <w:t>ital bond proceeds</w:t>
      </w:r>
      <w:r>
        <w:t>,</w:t>
      </w:r>
      <w:r w:rsidR="00821DBE">
        <w:t xml:space="preserve"> mitigation fees</w:t>
      </w:r>
      <w:r w:rsidR="00AA37F2">
        <w:t xml:space="preserve">, </w:t>
      </w:r>
      <w:r>
        <w:t>fire impact fees</w:t>
      </w:r>
      <w:r w:rsidR="00AA37F2">
        <w:t xml:space="preserve"> and other sources</w:t>
      </w:r>
      <w:r>
        <w:t>.</w:t>
      </w:r>
    </w:p>
    <w:p w:rsidR="00A2170E" w:rsidRDefault="00A2170E" w:rsidP="00A2170E">
      <w:pPr>
        <w:pStyle w:val="BodyText"/>
      </w:pPr>
      <w:r>
        <w:t>The State of Washington</w:t>
      </w:r>
      <w:r w:rsidR="00821DBE">
        <w:t xml:space="preserve"> authorizes </w:t>
      </w:r>
      <w:r>
        <w:t>fire districts to levy both “regular” and “special” property taxes to support their operational and capital needs. As part of the regular property tax levy, a fire service provider is authorized to levy a property tax at a total maximum rate of $1.50 per $1,000 of assessed value. However, the total maximum aggregate “r</w:t>
      </w:r>
      <w:r w:rsidR="00821DBE">
        <w:t>egular” property tax levy by local</w:t>
      </w:r>
      <w:r>
        <w:t xml:space="preserve"> taxing agencie</w:t>
      </w:r>
      <w:r w:rsidR="00821DBE">
        <w:t>s in an area may not exceed $5.9</w:t>
      </w:r>
      <w:r>
        <w:t>0. Occasionally, all local levies will total more than this limit. In this case, “junior” taxing districts, including fire districts, must follow state statute to lower their levy rate so that the total aggregate rate does not exceed the statutory limit. Fire districts may also pass “special” property tax levies for short-term periods without a statutory maximum levy limit.</w:t>
      </w:r>
      <w:r w:rsidR="00821DBE">
        <w:t xml:space="preserve">  </w:t>
      </w:r>
      <w:r>
        <w:t>Fire impact fees may be collected on new residential and commercial development t</w:t>
      </w:r>
      <w:r w:rsidR="00AA37F2">
        <w:t>o fund facility improvements</w:t>
      </w:r>
      <w:r w:rsidR="00821DBE">
        <w:t>, provided that the County and/or city governments adopt ordinances authorizing such impact fees</w:t>
      </w:r>
      <w:r>
        <w:t xml:space="preserve">. </w:t>
      </w:r>
    </w:p>
    <w:p w:rsidR="00A2170E" w:rsidRDefault="00A2170E" w:rsidP="00A2170E">
      <w:pPr>
        <w:pStyle w:val="Heading4"/>
      </w:pPr>
      <w:r>
        <w:lastRenderedPageBreak/>
        <w:t>Capital Projects</w:t>
      </w:r>
    </w:p>
    <w:p w:rsidR="005E65D3" w:rsidRDefault="005E65D3" w:rsidP="00AB7394">
      <w:pPr>
        <w:pStyle w:val="BodyText"/>
      </w:pPr>
      <w:r>
        <w:t>A summary of the c</w:t>
      </w:r>
      <w:r w:rsidR="00A2170E">
        <w:t>apital projects for the</w:t>
      </w:r>
      <w:r w:rsidR="00C0692B">
        <w:t xml:space="preserve"> fire </w:t>
      </w:r>
      <w:r w:rsidR="00373D16">
        <w:t xml:space="preserve">departments and </w:t>
      </w:r>
      <w:r w:rsidR="00C0692B">
        <w:t>districts s</w:t>
      </w:r>
      <w:r>
        <w:t>erving UGAs are provided below.</w:t>
      </w:r>
    </w:p>
    <w:p w:rsidR="001A6F7E" w:rsidRPr="00C019B0" w:rsidRDefault="001A6F7E" w:rsidP="001A6F7E">
      <w:pPr>
        <w:pStyle w:val="Heading5"/>
        <w:spacing w:before="120"/>
      </w:pPr>
      <w:r>
        <w:t>City of Bellingham</w:t>
      </w:r>
      <w:r w:rsidRPr="00C019B0">
        <w:t xml:space="preserve"> Fire Department</w:t>
      </w:r>
    </w:p>
    <w:p w:rsidR="0011197E" w:rsidRDefault="001A6F7E" w:rsidP="001A6F7E">
      <w:pPr>
        <w:pStyle w:val="BodyText"/>
      </w:pPr>
      <w:r>
        <w:t>The City of Bellingham</w:t>
      </w:r>
      <w:r w:rsidRPr="00C019B0">
        <w:t xml:space="preserve"> Fire Department serves area within the city </w:t>
      </w:r>
      <w:r w:rsidRPr="007070ED">
        <w:t>limits and will serve the UGA</w:t>
      </w:r>
      <w:r w:rsidR="007070ED">
        <w:t xml:space="preserve"> upon annexation</w:t>
      </w:r>
      <w:r>
        <w:t xml:space="preserve">. </w:t>
      </w:r>
      <w:r w:rsidR="007070ED">
        <w:t>Currently, the Bellingham</w:t>
      </w:r>
      <w:r w:rsidR="007070ED" w:rsidRPr="00C019B0">
        <w:t xml:space="preserve"> Fire Department</w:t>
      </w:r>
      <w:r w:rsidR="007070ED">
        <w:t xml:space="preserve"> assists in providing service to the City's UGA through mutual aid </w:t>
      </w:r>
      <w:r w:rsidR="00D94C02">
        <w:t>response agreements with Fire Districts</w:t>
      </w:r>
      <w:r w:rsidR="007070ED">
        <w:t xml:space="preserve">. </w:t>
      </w:r>
      <w:r>
        <w:t>The Draft</w:t>
      </w:r>
      <w:r>
        <w:rPr>
          <w:i/>
        </w:rPr>
        <w:t xml:space="preserve"> Bellingham Comprehensive Plan</w:t>
      </w:r>
      <w:r w:rsidRPr="00C019B0">
        <w:rPr>
          <w:i/>
        </w:rPr>
        <w:t xml:space="preserve"> Capital Facilities </w:t>
      </w:r>
      <w:r>
        <w:rPr>
          <w:i/>
        </w:rPr>
        <w:t>and Utilities Chapter</w:t>
      </w:r>
      <w:r w:rsidRPr="00C019B0">
        <w:t xml:space="preserve"> (</w:t>
      </w:r>
      <w:r w:rsidR="00D77C74">
        <w:t xml:space="preserve">2016) contains </w:t>
      </w:r>
      <w:r w:rsidR="00C92571">
        <w:t xml:space="preserve">$495,997 in </w:t>
      </w:r>
      <w:r w:rsidR="00D77C74">
        <w:t xml:space="preserve">Fire Department </w:t>
      </w:r>
      <w:r w:rsidRPr="00C019B0">
        <w:t>capital improvement projects</w:t>
      </w:r>
      <w:r w:rsidR="00C92571">
        <w:t xml:space="preserve"> </w:t>
      </w:r>
      <w:r>
        <w:t>over the six-year planning period (2017-2022).  The</w:t>
      </w:r>
      <w:r w:rsidR="00D77C74">
        <w:t>se projects include replacing medic units and equipment.  These costs will be paid</w:t>
      </w:r>
      <w:r w:rsidR="00C92571">
        <w:t xml:space="preserve"> from the Medic One fund</w:t>
      </w:r>
      <w:r w:rsidRPr="00C019B0">
        <w:t>.</w:t>
      </w:r>
      <w:r w:rsidR="00C92571">
        <w:t xml:space="preserve">  There are also a number of</w:t>
      </w:r>
      <w:r w:rsidR="00D77C74">
        <w:t xml:space="preserve"> unfunded projects including the </w:t>
      </w:r>
      <w:r w:rsidR="00C92571">
        <w:t>fire boathouse, Fire Station 1 remodel, fire</w:t>
      </w:r>
      <w:r w:rsidR="00D77C74">
        <w:t xml:space="preserve"> training center, </w:t>
      </w:r>
      <w:r w:rsidR="00C92571">
        <w:t>new fir</w:t>
      </w:r>
      <w:r w:rsidR="00D77C74">
        <w:t xml:space="preserve">e station, and replacing fire engines, a ladder truck, medic units and support </w:t>
      </w:r>
      <w:r w:rsidR="00C92571">
        <w:t>vehicles.</w:t>
      </w:r>
    </w:p>
    <w:p w:rsidR="00373D16" w:rsidRPr="00C019B0" w:rsidRDefault="00373D16" w:rsidP="00373D16">
      <w:pPr>
        <w:pStyle w:val="Heading5"/>
        <w:spacing w:before="120"/>
      </w:pPr>
      <w:r w:rsidRPr="00C019B0">
        <w:t>City of Lynden Fire Department</w:t>
      </w:r>
    </w:p>
    <w:p w:rsidR="001D1F34" w:rsidRDefault="0011197E" w:rsidP="0011197E">
      <w:pPr>
        <w:spacing w:line="276" w:lineRule="auto"/>
      </w:pPr>
      <w:r w:rsidRPr="0011197E">
        <w:t>The City of Lynden Fire Department serves area within the city limits and will serve the UGA. Currently, the City of Lynden Fire Department assists in providing service to the City’s UGA through mutual aid and automatic aid agreements with North Whatcom Fire and Rescue. The Draft</w:t>
      </w:r>
      <w:r w:rsidRPr="0011197E">
        <w:rPr>
          <w:i/>
        </w:rPr>
        <w:t xml:space="preserve"> Lynden Capital Facilities Plan</w:t>
      </w:r>
      <w:r w:rsidRPr="0011197E">
        <w:t xml:space="preserve"> (2016) contains approximately $8,020,000 million in capital improvement projects over the 20-year planning period.  These projects include a new fire station, training facility, air unit, adding a third ambulance and a variety of apparatus and vehicle replacement purchases.  Capital facility funding sources include property tax, sales tax, ambulance utility fee</w:t>
      </w:r>
      <w:r w:rsidR="00381CE0">
        <w:t>s</w:t>
      </w:r>
      <w:r w:rsidRPr="0011197E">
        <w:t xml:space="preserve">, transport fees, plan check fees, and impact fees. </w:t>
      </w:r>
    </w:p>
    <w:p w:rsidR="00520206" w:rsidRDefault="00520206" w:rsidP="00520206">
      <w:pPr>
        <w:pStyle w:val="Heading5"/>
        <w:spacing w:before="120"/>
      </w:pPr>
      <w:r>
        <w:t>Fire District # 1</w:t>
      </w:r>
    </w:p>
    <w:p w:rsidR="00C2577A" w:rsidRDefault="00873362" w:rsidP="00520206">
      <w:pPr>
        <w:pStyle w:val="BodyText"/>
      </w:pPr>
      <w:r>
        <w:t xml:space="preserve">Fire District # 1 serves the Everson UGA, Nooksack UGA and surrounding areas.  </w:t>
      </w:r>
      <w:r w:rsidR="00520206" w:rsidRPr="00A21AB7">
        <w:t xml:space="preserve">The </w:t>
      </w:r>
      <w:r w:rsidR="00C2577A" w:rsidRPr="00C2577A">
        <w:rPr>
          <w:i/>
        </w:rPr>
        <w:t>Whatcom County Fire District # 1 Capital Facilities Plan</w:t>
      </w:r>
      <w:r w:rsidR="00C2577A">
        <w:t xml:space="preserve"> (August 2015) contains approximately $9.5 million in capital improvement projects over the 20-year planning period (pp. 14 and 15).  These </w:t>
      </w:r>
      <w:r w:rsidR="00821DBE">
        <w:t xml:space="preserve">projects include </w:t>
      </w:r>
      <w:r w:rsidR="00C2577A">
        <w:t>Station 81</w:t>
      </w:r>
      <w:r w:rsidR="00821DBE">
        <w:t xml:space="preserve"> replacement</w:t>
      </w:r>
      <w:r w:rsidR="00C2577A">
        <w:t xml:space="preserve"> (Everson), </w:t>
      </w:r>
      <w:r w:rsidR="00821DBE">
        <w:t xml:space="preserve">Station 82 </w:t>
      </w:r>
      <w:r w:rsidR="00C2577A">
        <w:t>remodel an</w:t>
      </w:r>
      <w:r w:rsidR="00821DBE">
        <w:t>d storage building</w:t>
      </w:r>
      <w:r w:rsidR="00C2577A">
        <w:t xml:space="preserve"> (Lawrence Rd.), and a variety of apparatus and vehicle purchases.  Capital facility funding sources include property tax revenues, a bond measure, other district revenues and grants (pp. 12 and 13).</w:t>
      </w:r>
    </w:p>
    <w:p w:rsidR="00C2577A" w:rsidRDefault="00AB7394" w:rsidP="00C2577A">
      <w:pPr>
        <w:pStyle w:val="Heading5"/>
        <w:spacing w:before="120"/>
      </w:pPr>
      <w:r>
        <w:t>Fire District # 7</w:t>
      </w:r>
    </w:p>
    <w:p w:rsidR="00512379" w:rsidRDefault="00873362" w:rsidP="00C2577A">
      <w:pPr>
        <w:pStyle w:val="BodyText"/>
      </w:pPr>
      <w:r>
        <w:t xml:space="preserve">Fire District # 7 serves the Ferndale UGA, Cherry Point UGA and surrounding areas. </w:t>
      </w:r>
      <w:r w:rsidR="00C2577A" w:rsidRPr="00A21AB7">
        <w:t xml:space="preserve">The </w:t>
      </w:r>
      <w:r w:rsidR="00BB27A8">
        <w:rPr>
          <w:i/>
        </w:rPr>
        <w:t>Whatcom County Fire District No. 7</w:t>
      </w:r>
      <w:r w:rsidR="00821DBE">
        <w:rPr>
          <w:i/>
        </w:rPr>
        <w:t xml:space="preserve"> Capital Facility</w:t>
      </w:r>
      <w:r w:rsidR="00C2577A" w:rsidRPr="00C2577A">
        <w:rPr>
          <w:i/>
        </w:rPr>
        <w:t xml:space="preserve"> Plan</w:t>
      </w:r>
      <w:r w:rsidR="00BB27A8">
        <w:t xml:space="preserve"> (February 2016</w:t>
      </w:r>
      <w:r w:rsidR="00C2577A">
        <w:t>) contains approximately $</w:t>
      </w:r>
      <w:r w:rsidR="00BB27A8">
        <w:t>19.2</w:t>
      </w:r>
      <w:r w:rsidR="00C2577A">
        <w:t xml:space="preserve"> million in capital improvement projects over the 20-yea</w:t>
      </w:r>
      <w:r w:rsidR="00BB27A8">
        <w:t>r planning period (pp. 22-24</w:t>
      </w:r>
      <w:r w:rsidR="00C2577A">
        <w:t xml:space="preserve">).  These projects include </w:t>
      </w:r>
      <w:r w:rsidR="00BB27A8">
        <w:t>station improvements, a Department Training Center,</w:t>
      </w:r>
      <w:r w:rsidR="00C2577A">
        <w:t xml:space="preserve"> and a variety of apparatus and vehicle purchases.  Capital facility funding sources include property tax revenues,</w:t>
      </w:r>
      <w:r w:rsidR="00BB27A8">
        <w:t xml:space="preserve"> bonds, grants, reserves and potentially mitigation fees (pp. 24-26</w:t>
      </w:r>
      <w:r w:rsidR="00C2577A">
        <w:t>).</w:t>
      </w:r>
    </w:p>
    <w:p w:rsidR="00821DBE" w:rsidRDefault="00821DBE" w:rsidP="00C2577A">
      <w:pPr>
        <w:pStyle w:val="BodyText"/>
      </w:pPr>
    </w:p>
    <w:p w:rsidR="00BB27A8" w:rsidRDefault="00BB27A8" w:rsidP="00BB27A8">
      <w:pPr>
        <w:pStyle w:val="Heading5"/>
        <w:spacing w:before="120"/>
      </w:pPr>
      <w:r>
        <w:lastRenderedPageBreak/>
        <w:t>Fire District # 8</w:t>
      </w:r>
    </w:p>
    <w:p w:rsidR="00811B2E" w:rsidRDefault="00873362" w:rsidP="00BB27A8">
      <w:pPr>
        <w:pStyle w:val="BodyText"/>
      </w:pPr>
      <w:r>
        <w:t xml:space="preserve">Fire District # 8 serves a portion of the Bellingham UGA and surrounding areas. </w:t>
      </w:r>
      <w:r w:rsidR="00BB27A8" w:rsidRPr="00A21AB7">
        <w:t xml:space="preserve">The </w:t>
      </w:r>
      <w:r w:rsidR="00BB27A8">
        <w:rPr>
          <w:i/>
        </w:rPr>
        <w:t xml:space="preserve">Whatcom County Fire District </w:t>
      </w:r>
      <w:r w:rsidR="00613E55">
        <w:rPr>
          <w:i/>
        </w:rPr>
        <w:t># 8</w:t>
      </w:r>
      <w:r w:rsidR="00BB27A8" w:rsidRPr="00C2577A">
        <w:rPr>
          <w:i/>
        </w:rPr>
        <w:t xml:space="preserve"> Capital Facilities Plan</w:t>
      </w:r>
      <w:r w:rsidR="00BB27A8">
        <w:t xml:space="preserve"> (</w:t>
      </w:r>
      <w:r w:rsidR="00613E55">
        <w:t>June</w:t>
      </w:r>
      <w:r w:rsidR="00BB27A8">
        <w:t xml:space="preserve"> 201</w:t>
      </w:r>
      <w:r w:rsidR="00613E55">
        <w:t>3</w:t>
      </w:r>
      <w:r w:rsidR="00BB27A8">
        <w:t>) contains approximately $</w:t>
      </w:r>
      <w:r w:rsidR="00811B2E">
        <w:t>9.8</w:t>
      </w:r>
      <w:r w:rsidR="00BB27A8">
        <w:t xml:space="preserve"> million in capital improvement projects over the 20-year planning period (pp. </w:t>
      </w:r>
      <w:r w:rsidR="00811B2E">
        <w:t>17-18</w:t>
      </w:r>
      <w:r w:rsidR="00BB27A8">
        <w:t xml:space="preserve">).  These projects include </w:t>
      </w:r>
      <w:r w:rsidR="00811B2E">
        <w:t>S</w:t>
      </w:r>
      <w:r w:rsidR="00BB27A8">
        <w:t xml:space="preserve">tation </w:t>
      </w:r>
      <w:r w:rsidR="00811B2E">
        <w:t>31</w:t>
      </w:r>
      <w:r w:rsidR="00821DBE">
        <w:t xml:space="preserve"> replacement (Marine Dr.), </w:t>
      </w:r>
      <w:r w:rsidR="00811B2E">
        <w:t>Station 34</w:t>
      </w:r>
      <w:r w:rsidR="00821DBE">
        <w:t xml:space="preserve"> improvements</w:t>
      </w:r>
      <w:r w:rsidR="00811B2E">
        <w:t xml:space="preserve"> (McKenzie Rd.), a new station (Kwina Rd.),</w:t>
      </w:r>
      <w:r w:rsidR="00BB27A8">
        <w:t xml:space="preserve"> and a variety of apparatus and vehicle purchases.  Capital facility funding sources include </w:t>
      </w:r>
      <w:r w:rsidR="00811B2E">
        <w:t xml:space="preserve">District revenues such as </w:t>
      </w:r>
      <w:r w:rsidR="00BB27A8">
        <w:t>property tax</w:t>
      </w:r>
      <w:r w:rsidR="00811B2E">
        <w:t>es</w:t>
      </w:r>
      <w:r w:rsidR="00BB27A8">
        <w:t xml:space="preserve">, bonds, </w:t>
      </w:r>
      <w:r w:rsidR="00811B2E">
        <w:t xml:space="preserve">property sales, mitigation fees, funds from the Lummi Nation, funds from the City of Bellingham, and </w:t>
      </w:r>
      <w:r w:rsidR="00BB27A8">
        <w:t xml:space="preserve">grants (pp. </w:t>
      </w:r>
      <w:r w:rsidR="00811B2E">
        <w:t>13-15</w:t>
      </w:r>
      <w:r w:rsidR="00BB27A8">
        <w:t>).</w:t>
      </w:r>
    </w:p>
    <w:p w:rsidR="00811B2E" w:rsidRDefault="00811B2E" w:rsidP="00811B2E">
      <w:pPr>
        <w:pStyle w:val="Heading5"/>
        <w:spacing w:before="120"/>
      </w:pPr>
      <w:r>
        <w:t>Fire District # 14</w:t>
      </w:r>
    </w:p>
    <w:p w:rsidR="00227520" w:rsidRDefault="00873362" w:rsidP="00037D4F">
      <w:pPr>
        <w:pStyle w:val="BodyText"/>
      </w:pPr>
      <w:r>
        <w:t xml:space="preserve">Fire District # 14 serves the Sumas UGA, Columbia Valley UGA and surrounding areas. </w:t>
      </w:r>
      <w:r w:rsidR="00811B2E" w:rsidRPr="00A21AB7">
        <w:t xml:space="preserve">The </w:t>
      </w:r>
      <w:r w:rsidR="00811B2E">
        <w:rPr>
          <w:i/>
        </w:rPr>
        <w:t xml:space="preserve">Whatcom County Fire District </w:t>
      </w:r>
      <w:r>
        <w:rPr>
          <w:i/>
        </w:rPr>
        <w:t># 14</w:t>
      </w:r>
      <w:r w:rsidR="00811B2E" w:rsidRPr="00C2577A">
        <w:rPr>
          <w:i/>
        </w:rPr>
        <w:t xml:space="preserve"> Capital Facilities Plan</w:t>
      </w:r>
      <w:r w:rsidR="00811B2E">
        <w:t xml:space="preserve"> (</w:t>
      </w:r>
      <w:r>
        <w:t>August</w:t>
      </w:r>
      <w:r w:rsidR="00811B2E">
        <w:t xml:space="preserve"> 201</w:t>
      </w:r>
      <w:r>
        <w:t>5</w:t>
      </w:r>
      <w:r w:rsidR="00811B2E">
        <w:t>) contains approximately $</w:t>
      </w:r>
      <w:r>
        <w:t xml:space="preserve">6 </w:t>
      </w:r>
      <w:r w:rsidR="00811B2E">
        <w:t xml:space="preserve">million in capital improvement projects over the 20-year planning period (pp. </w:t>
      </w:r>
      <w:r>
        <w:t>17-18</w:t>
      </w:r>
      <w:r w:rsidR="00811B2E">
        <w:t xml:space="preserve">).  These projects include </w:t>
      </w:r>
      <w:r>
        <w:t>station improvements, land purchase</w:t>
      </w:r>
      <w:r w:rsidR="00811B2E">
        <w:t xml:space="preserve">, and a variety of apparatus and vehicle purchases.  Capital facility funding sources include </w:t>
      </w:r>
      <w:r>
        <w:t>annual revenues such as property taxe</w:t>
      </w:r>
      <w:r w:rsidR="00811B2E">
        <w:t>s, reserves</w:t>
      </w:r>
      <w:r>
        <w:t>,</w:t>
      </w:r>
      <w:r w:rsidR="00811B2E">
        <w:t xml:space="preserve"> mitigation fees</w:t>
      </w:r>
      <w:r>
        <w:t xml:space="preserve"> and grants</w:t>
      </w:r>
      <w:r w:rsidR="00811B2E">
        <w:t xml:space="preserve"> (pp. </w:t>
      </w:r>
      <w:r w:rsidR="00821DBE">
        <w:t>13-15</w:t>
      </w:r>
      <w:r w:rsidR="00811B2E">
        <w:t>).</w:t>
      </w:r>
    </w:p>
    <w:p w:rsidR="00821DBE" w:rsidRDefault="00821DBE" w:rsidP="00821DBE">
      <w:pPr>
        <w:pStyle w:val="Heading5"/>
        <w:spacing w:before="120"/>
      </w:pPr>
      <w:r>
        <w:t>North Whatcom Fire &amp; Rescue / Fire District 4</w:t>
      </w:r>
    </w:p>
    <w:p w:rsidR="0076196F" w:rsidRDefault="00821DBE" w:rsidP="00821DBE">
      <w:pPr>
        <w:pStyle w:val="BodyText"/>
      </w:pPr>
      <w:r>
        <w:t xml:space="preserve">In </w:t>
      </w:r>
      <w:r w:rsidRPr="00D26149">
        <w:t>2011</w:t>
      </w:r>
      <w:r>
        <w:t>,</w:t>
      </w:r>
      <w:r w:rsidRPr="00D26149">
        <w:t xml:space="preserve"> North Whatcom Fire and Rescue (also known as Fire District 21</w:t>
      </w:r>
      <w:r>
        <w:t>)</w:t>
      </w:r>
      <w:r w:rsidRPr="00D26149">
        <w:t xml:space="preserve"> completed a functional consolidation with Whatcom County Fire District 4 </w:t>
      </w:r>
      <w:r>
        <w:t xml:space="preserve">whereby </w:t>
      </w:r>
      <w:r w:rsidRPr="00D26149">
        <w:t>NWFR provides management and all operation services through a contract with District 4.  </w:t>
      </w:r>
      <w:r>
        <w:t>North Whatcom F</w:t>
      </w:r>
      <w:r w:rsidR="00AA37F2">
        <w:t>ire &amp; Rescue now provides service to</w:t>
      </w:r>
      <w:r>
        <w:t xml:space="preserve"> the Blaine</w:t>
      </w:r>
      <w:r w:rsidRPr="00873362">
        <w:t xml:space="preserve"> UGA, </w:t>
      </w:r>
      <w:r>
        <w:t xml:space="preserve">Birch Bay UGA, Lynden UGA (outside of city limits), and a portion of the Bellingham UGA. A single capital facilities plan has been developed for the two Districts.  </w:t>
      </w:r>
      <w:r w:rsidRPr="00A21AB7">
        <w:t>The</w:t>
      </w:r>
      <w:r w:rsidR="00227761">
        <w:t xml:space="preserve"> </w:t>
      </w:r>
      <w:r w:rsidR="00295883">
        <w:rPr>
          <w:i/>
        </w:rPr>
        <w:t>North Whatcom Fire &amp;</w:t>
      </w:r>
      <w:bookmarkStart w:id="55" w:name="_GoBack"/>
      <w:bookmarkEnd w:id="55"/>
      <w:r>
        <w:rPr>
          <w:i/>
        </w:rPr>
        <w:t xml:space="preserve"> Rescue and Fire District # 4 Capital Facilities Plan</w:t>
      </w:r>
      <w:r w:rsidR="00227761">
        <w:t xml:space="preserve"> (May</w:t>
      </w:r>
      <w:r>
        <w:t xml:space="preserve"> 2016) contains approximately $59.6 million in capital improvement projects over the 20-year planning period (pp. 9 and 10).  These projects include a new station, upgrading/remodeling existing stations, and a variety of apparatus and vehicle purchases.  Capital facility funding will primari</w:t>
      </w:r>
      <w:r w:rsidR="00AA37F2">
        <w:t>ly come from capital bond proceeds</w:t>
      </w:r>
      <w:r>
        <w:t xml:space="preserve"> (p. 13).</w:t>
      </w:r>
    </w:p>
    <w:p w:rsidR="0076196F" w:rsidRDefault="0076196F" w:rsidP="0076196F">
      <w:pPr>
        <w:pStyle w:val="Heading5"/>
        <w:spacing w:before="120"/>
      </w:pPr>
      <w:r>
        <w:t>South Whatcom Fire Authority</w:t>
      </w:r>
    </w:p>
    <w:p w:rsidR="00AB7394" w:rsidRDefault="0076196F" w:rsidP="0076196F">
      <w:pPr>
        <w:pStyle w:val="BodyText"/>
      </w:pPr>
      <w:r>
        <w:t xml:space="preserve">The South Whatcom Fire Authority was formed in 2009 after </w:t>
      </w:r>
      <w:r w:rsidR="00AA37F2">
        <w:t xml:space="preserve">voters </w:t>
      </w:r>
      <w:r w:rsidR="005E02DB">
        <w:t xml:space="preserve">approved a consolidation of </w:t>
      </w:r>
      <w:r w:rsidR="00AA37F2">
        <w:t>four smaller</w:t>
      </w:r>
      <w:r w:rsidR="005E02DB">
        <w:t xml:space="preserve"> fire districts.  South </w:t>
      </w:r>
      <w:r>
        <w:t xml:space="preserve">Whatcom Fire </w:t>
      </w:r>
      <w:r w:rsidR="005E02DB">
        <w:t>Authority serves portions of the Bellingham UGA</w:t>
      </w:r>
      <w:r w:rsidR="00AA37F2">
        <w:t xml:space="preserve"> and surrounding areas</w:t>
      </w:r>
      <w:r w:rsidR="005E02DB">
        <w:t>.  The District has five existing station and five fire engines.  In 2016, the District is asking voters to approve a $1.96 million bond to replace three of the District’s five fire engines.</w:t>
      </w:r>
    </w:p>
    <w:p w:rsidR="00512379" w:rsidRDefault="00512379" w:rsidP="00037D4F">
      <w:pPr>
        <w:pStyle w:val="BodyText"/>
      </w:pPr>
    </w:p>
    <w:p w:rsidR="00512379" w:rsidRDefault="00512379" w:rsidP="00037D4F">
      <w:pPr>
        <w:pStyle w:val="BodyText"/>
      </w:pPr>
    </w:p>
    <w:p w:rsidR="00BD673E" w:rsidRDefault="00BD673E" w:rsidP="00037D4F">
      <w:pPr>
        <w:pStyle w:val="BodyText"/>
      </w:pPr>
    </w:p>
    <w:p w:rsidR="009343E4" w:rsidRDefault="00BD2D6F" w:rsidP="009343E4">
      <w:pPr>
        <w:pStyle w:val="TOAHeading"/>
      </w:pPr>
      <w:r>
        <w:lastRenderedPageBreak/>
        <w:t>Chapter 15</w:t>
      </w:r>
      <w:r w:rsidR="009343E4">
        <w:t xml:space="preserve"> – Solid Waste</w:t>
      </w:r>
    </w:p>
    <w:p w:rsidR="00A2170E" w:rsidRDefault="00A2170E" w:rsidP="00A2170E">
      <w:pPr>
        <w:pStyle w:val="Heading2"/>
      </w:pPr>
      <w:bookmarkStart w:id="56" w:name="_Toc245621857"/>
      <w:r>
        <w:t>Solid Waste (County)</w:t>
      </w:r>
      <w:bookmarkEnd w:id="56"/>
    </w:p>
    <w:p w:rsidR="00A2170E" w:rsidRDefault="00A2170E" w:rsidP="00A2170E">
      <w:pPr>
        <w:pStyle w:val="BodyText"/>
      </w:pPr>
      <w:r>
        <w:t xml:space="preserve">State law </w:t>
      </w:r>
      <w:r w:rsidR="0037045F">
        <w:t>requires e</w:t>
      </w:r>
      <w:r w:rsidR="0037045F" w:rsidRPr="0037045F">
        <w:t>ach county within the state, in cooperation with the va</w:t>
      </w:r>
      <w:r w:rsidR="0037045F">
        <w:t>rious cities located within the county, to</w:t>
      </w:r>
      <w:r w:rsidR="0037045F" w:rsidRPr="0037045F">
        <w:t xml:space="preserve"> prepare a coordinated, comprehensive solid waste management plan. The purpose is to pla</w:t>
      </w:r>
      <w:r w:rsidR="00371873">
        <w:t xml:space="preserve">n for solid waste reduction, collection, handling, </w:t>
      </w:r>
      <w:r w:rsidR="00D01C64">
        <w:t xml:space="preserve">management </w:t>
      </w:r>
      <w:r w:rsidR="0037045F" w:rsidRPr="0037045F">
        <w:t>a</w:t>
      </w:r>
      <w:r w:rsidR="00371873">
        <w:t>nd programs</w:t>
      </w:r>
      <w:r w:rsidR="0037045F">
        <w:t xml:space="preserve"> designed to meet the needs of the county and cities</w:t>
      </w:r>
      <w:r w:rsidR="0037045F" w:rsidRPr="0037045F">
        <w:t xml:space="preserve"> </w:t>
      </w:r>
      <w:r w:rsidR="0037045F">
        <w:t>(RCW 70.95.080</w:t>
      </w:r>
      <w:r>
        <w:t>)</w:t>
      </w:r>
      <w:r w:rsidR="0037045F">
        <w:t>.</w:t>
      </w:r>
    </w:p>
    <w:p w:rsidR="00A2170E" w:rsidRDefault="00371873" w:rsidP="00A2170E">
      <w:pPr>
        <w:pStyle w:val="BodyText"/>
      </w:pPr>
      <w:r>
        <w:t xml:space="preserve">The </w:t>
      </w:r>
      <w:r w:rsidR="00A2170E">
        <w:t xml:space="preserve">Whatcom County </w:t>
      </w:r>
      <w:r w:rsidR="00460897">
        <w:t>Health Department</w:t>
      </w:r>
      <w:r w:rsidR="00A2170E">
        <w:t xml:space="preserve"> is the lead planning agency for solid waste management in the County. The </w:t>
      </w:r>
      <w:r w:rsidR="00037A55">
        <w:t>Health Department</w:t>
      </w:r>
      <w:r>
        <w:t>’s</w:t>
      </w:r>
      <w:r w:rsidR="00037A55">
        <w:t xml:space="preserve"> </w:t>
      </w:r>
      <w:r w:rsidR="00A2170E">
        <w:t xml:space="preserve">Solid Waste Division is responsible for several program areas encompassing waste prevention, economically efficient recycling and disposal systems, litter control, hazardous waste education </w:t>
      </w:r>
      <w:r>
        <w:t xml:space="preserve">and disposal opportunities, </w:t>
      </w:r>
      <w:r w:rsidR="00D01C64">
        <w:t xml:space="preserve">monitoring </w:t>
      </w:r>
      <w:r w:rsidR="00A2170E">
        <w:t>the county’s closed landfil</w:t>
      </w:r>
      <w:r>
        <w:t xml:space="preserve">ls, </w:t>
      </w:r>
      <w:r w:rsidR="00A2170E">
        <w:t>co</w:t>
      </w:r>
      <w:r>
        <w:t>mprehensive planning, and</w:t>
      </w:r>
      <w:r w:rsidR="00A2170E">
        <w:t xml:space="preserve"> providing support for the Whatcom County Solid Waste Advisory Committee.</w:t>
      </w:r>
    </w:p>
    <w:p w:rsidR="00A2170E" w:rsidRDefault="00A2170E" w:rsidP="00A2170E">
      <w:pPr>
        <w:pStyle w:val="BodyText"/>
      </w:pPr>
      <w:r>
        <w:t xml:space="preserve">The County prepared a </w:t>
      </w:r>
      <w:r w:rsidR="00371873" w:rsidRPr="00371873">
        <w:rPr>
          <w:i/>
        </w:rPr>
        <w:t xml:space="preserve">Draft </w:t>
      </w:r>
      <w:r w:rsidR="009C6EB9">
        <w:rPr>
          <w:i/>
        </w:rPr>
        <w:t xml:space="preserve">2016 </w:t>
      </w:r>
      <w:r w:rsidR="00371873" w:rsidRPr="00371873">
        <w:rPr>
          <w:i/>
        </w:rPr>
        <w:t>Whatcom County Comprehensive Solid and Hazardous Waste Management Plan</w:t>
      </w:r>
      <w:r>
        <w:t xml:space="preserve"> </w:t>
      </w:r>
      <w:r w:rsidR="00037A55">
        <w:t>(Jan. 2016)</w:t>
      </w:r>
      <w:r>
        <w:t xml:space="preserve"> which serves as the basis for the solid waste component of the Capital Facilities Plan.</w:t>
      </w:r>
    </w:p>
    <w:p w:rsidR="00A2170E" w:rsidRDefault="00A2170E" w:rsidP="00A2170E">
      <w:pPr>
        <w:pStyle w:val="Heading3"/>
      </w:pPr>
      <w:bookmarkStart w:id="57" w:name="_Toc245621859"/>
      <w:r>
        <w:t>Inventory of Current Facilities</w:t>
      </w:r>
      <w:bookmarkEnd w:id="57"/>
    </w:p>
    <w:p w:rsidR="00592F62" w:rsidRDefault="00A2170E" w:rsidP="004040FA">
      <w:pPr>
        <w:pStyle w:val="BodyText"/>
      </w:pPr>
      <w:r>
        <w:t xml:space="preserve">The County’s solid waste system is a combination of private and public entities. </w:t>
      </w:r>
      <w:r w:rsidR="001F53E2" w:rsidRPr="006C5C09">
        <w:t>Solid waste handling facilities in Wh</w:t>
      </w:r>
      <w:r w:rsidR="001F53E2">
        <w:t>atcom County currently include two primary transfer stations, five drop box collection stations, one public-use and one</w:t>
      </w:r>
      <w:r w:rsidR="001F53E2" w:rsidRPr="006C5C09">
        <w:t xml:space="preserve"> private moderate-risk waste fixed facility (for small business and househol</w:t>
      </w:r>
      <w:r w:rsidR="001F53E2">
        <w:t>d hazardous waste collection), one</w:t>
      </w:r>
      <w:r w:rsidR="001F53E2" w:rsidRPr="006C5C09">
        <w:t xml:space="preserve"> vactor waste transfer station, and approximately 13 composting and recycling facilities (both permitted and non-permi</w:t>
      </w:r>
      <w:r w:rsidR="001F53E2">
        <w:t>tted). Additionally, there are three</w:t>
      </w:r>
      <w:r w:rsidR="001F53E2" w:rsidRPr="006C5C09">
        <w:t xml:space="preserve"> anaerobic digesters (on</w:t>
      </w:r>
      <w:r w:rsidR="001F53E2">
        <w:t>e of which requires a permit), three</w:t>
      </w:r>
      <w:r w:rsidR="001F53E2" w:rsidRPr="006C5C09">
        <w:t xml:space="preserve"> biosolid</w:t>
      </w:r>
      <w:r w:rsidR="001F53E2">
        <w:t>s land application facilities, three</w:t>
      </w:r>
      <w:r w:rsidR="001F53E2" w:rsidRPr="006C5C09">
        <w:t xml:space="preserve"> pri</w:t>
      </w:r>
      <w:r w:rsidR="001F53E2">
        <w:t>vate industrial landfills, and six</w:t>
      </w:r>
      <w:r w:rsidR="001F53E2" w:rsidRPr="006C5C09">
        <w:t xml:space="preserve"> landfills in post-closure status. </w:t>
      </w:r>
    </w:p>
    <w:p w:rsidR="001F53E2" w:rsidRPr="004040FA" w:rsidRDefault="001F53E2" w:rsidP="004040FA">
      <w:pPr>
        <w:pStyle w:val="BodyText"/>
      </w:pPr>
      <w:r w:rsidRPr="006C5C09">
        <w:t>The two primary transfer stations are located within the City of Ferndale. Municipal solid waste transported to these transfer stations, by either self-haulers or one of two local certificated haulers, is transported to landfills located outside of Whatcom County. While exempt from the need to obtain permits, recycling facilities are important to the system in Whatcom County, particularly, Northwest Recycling, Inc., which is presently one of the largest facilities offering residential and commercial recycling</w:t>
      </w:r>
      <w:r>
        <w:t xml:space="preserve">. </w:t>
      </w:r>
      <w:r>
        <w:rPr>
          <w:rFonts w:cs="TimesNewRomanPSMT"/>
        </w:rPr>
        <w:t xml:space="preserve">The table below </w:t>
      </w:r>
      <w:r w:rsidRPr="004255CD">
        <w:rPr>
          <w:rFonts w:cs="TimesNewRomanPSMT"/>
        </w:rPr>
        <w:t>lists solid waste facilities in the County</w:t>
      </w:r>
      <w:r>
        <w:rPr>
          <w:rFonts w:cs="TimesNewRomanPSMT"/>
        </w:rPr>
        <w:t xml:space="preserve"> that are part of the solid waste permit system. </w:t>
      </w:r>
    </w:p>
    <w:p w:rsidR="001F53E2" w:rsidRDefault="001F53E2" w:rsidP="00A2170E">
      <w:pPr>
        <w:pStyle w:val="TableNotes"/>
      </w:pPr>
    </w:p>
    <w:p w:rsidR="001F53E2" w:rsidRDefault="001F53E2" w:rsidP="00A2170E">
      <w:pPr>
        <w:pStyle w:val="TableNotes"/>
      </w:pPr>
    </w:p>
    <w:p w:rsidR="001F53E2" w:rsidRDefault="001F53E2" w:rsidP="00A2170E">
      <w:pPr>
        <w:pStyle w:val="TableNotes"/>
      </w:pPr>
    </w:p>
    <w:p w:rsidR="001F53E2" w:rsidRDefault="001F53E2" w:rsidP="00A2170E">
      <w:pPr>
        <w:pStyle w:val="TableNotes"/>
      </w:pPr>
    </w:p>
    <w:p w:rsidR="001F53E2" w:rsidRDefault="001F53E2" w:rsidP="00A2170E">
      <w:pPr>
        <w:pStyle w:val="TableNotes"/>
      </w:pPr>
    </w:p>
    <w:p w:rsidR="001F53E2" w:rsidRDefault="0016410F" w:rsidP="00037A55">
      <w:pPr>
        <w:pStyle w:val="Caption"/>
        <w:spacing w:before="240"/>
      </w:pPr>
      <w:r>
        <w:lastRenderedPageBreak/>
        <w:t>Table 15.1</w:t>
      </w:r>
      <w:r>
        <w:tab/>
      </w:r>
      <w:r w:rsidR="00037A55">
        <w:t>Exiting Solid Waste Facilities with Permits</w:t>
      </w:r>
    </w:p>
    <w:tbl>
      <w:tblPr>
        <w:tblW w:w="9573" w:type="dxa"/>
        <w:tblInd w:w="93" w:type="dxa"/>
        <w:tblBorders>
          <w:top w:val="single" w:sz="12" w:space="0" w:color="auto"/>
          <w:bottom w:val="single" w:sz="12" w:space="0" w:color="auto"/>
        </w:tblBorders>
        <w:tblLook w:val="04A0" w:firstRow="1" w:lastRow="0" w:firstColumn="1" w:lastColumn="0" w:noHBand="0" w:noVBand="1"/>
      </w:tblPr>
      <w:tblGrid>
        <w:gridCol w:w="3615"/>
        <w:gridCol w:w="2448"/>
        <w:gridCol w:w="3312"/>
        <w:gridCol w:w="198"/>
      </w:tblGrid>
      <w:tr w:rsidR="001F53E2" w:rsidRPr="007235F5" w:rsidTr="00824038">
        <w:trPr>
          <w:trHeight w:val="300"/>
          <w:tblHeader/>
        </w:trPr>
        <w:tc>
          <w:tcPr>
            <w:tcW w:w="3615" w:type="dxa"/>
            <w:tcBorders>
              <w:top w:val="single" w:sz="12" w:space="0" w:color="auto"/>
              <w:bottom w:val="single" w:sz="4" w:space="0" w:color="auto"/>
            </w:tcBorders>
            <w:shd w:val="clear" w:color="000000" w:fill="FFFFFF"/>
            <w:vAlign w:val="center"/>
            <w:hideMark/>
          </w:tcPr>
          <w:p w:rsidR="001F53E2" w:rsidRPr="007235F5" w:rsidRDefault="001F53E2" w:rsidP="00824038">
            <w:pPr>
              <w:spacing w:before="0" w:after="0"/>
              <w:jc w:val="center"/>
              <w:rPr>
                <w:b/>
                <w:bCs/>
                <w:color w:val="000000"/>
              </w:rPr>
            </w:pPr>
            <w:r w:rsidRPr="007235F5">
              <w:rPr>
                <w:b/>
                <w:bCs/>
                <w:color w:val="000000"/>
              </w:rPr>
              <w:t>Facility</w:t>
            </w:r>
          </w:p>
        </w:tc>
        <w:tc>
          <w:tcPr>
            <w:tcW w:w="2448" w:type="dxa"/>
            <w:tcBorders>
              <w:top w:val="single" w:sz="12" w:space="0" w:color="auto"/>
              <w:bottom w:val="single" w:sz="4" w:space="0" w:color="auto"/>
            </w:tcBorders>
            <w:shd w:val="clear" w:color="000000" w:fill="FFFFFF"/>
            <w:vAlign w:val="center"/>
            <w:hideMark/>
          </w:tcPr>
          <w:p w:rsidR="001F53E2" w:rsidRPr="007235F5" w:rsidRDefault="001F53E2" w:rsidP="00824038">
            <w:pPr>
              <w:spacing w:before="0" w:after="0"/>
              <w:jc w:val="center"/>
              <w:rPr>
                <w:b/>
                <w:bCs/>
                <w:color w:val="000000"/>
              </w:rPr>
            </w:pPr>
            <w:r w:rsidRPr="007235F5">
              <w:rPr>
                <w:b/>
                <w:bCs/>
                <w:color w:val="000000"/>
              </w:rPr>
              <w:t>Operator</w:t>
            </w:r>
          </w:p>
        </w:tc>
        <w:tc>
          <w:tcPr>
            <w:tcW w:w="3510" w:type="dxa"/>
            <w:gridSpan w:val="2"/>
            <w:tcBorders>
              <w:top w:val="single" w:sz="12" w:space="0" w:color="auto"/>
              <w:bottom w:val="single" w:sz="4" w:space="0" w:color="auto"/>
            </w:tcBorders>
            <w:shd w:val="clear" w:color="000000" w:fill="FFFFFF"/>
            <w:vAlign w:val="center"/>
            <w:hideMark/>
          </w:tcPr>
          <w:p w:rsidR="001F53E2" w:rsidRPr="007235F5" w:rsidRDefault="001F53E2" w:rsidP="00824038">
            <w:pPr>
              <w:spacing w:before="0" w:after="0"/>
              <w:jc w:val="center"/>
              <w:rPr>
                <w:b/>
                <w:bCs/>
                <w:color w:val="000000"/>
              </w:rPr>
            </w:pPr>
            <w:r w:rsidRPr="007235F5">
              <w:rPr>
                <w:b/>
                <w:bCs/>
                <w:color w:val="000000"/>
              </w:rPr>
              <w:t>Location</w:t>
            </w:r>
          </w:p>
        </w:tc>
      </w:tr>
      <w:tr w:rsidR="001F53E2" w:rsidRPr="007235F5" w:rsidTr="00824038">
        <w:trPr>
          <w:trHeight w:val="288"/>
        </w:trPr>
        <w:tc>
          <w:tcPr>
            <w:tcW w:w="3615" w:type="dxa"/>
            <w:tcBorders>
              <w:top w:val="single" w:sz="4" w:space="0" w:color="auto"/>
            </w:tcBorders>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Primary Transfer Stations</w:t>
            </w:r>
          </w:p>
        </w:tc>
        <w:tc>
          <w:tcPr>
            <w:tcW w:w="2448" w:type="dxa"/>
            <w:tcBorders>
              <w:top w:val="single" w:sz="4" w:space="0" w:color="auto"/>
            </w:tcBorders>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c>
          <w:tcPr>
            <w:tcW w:w="3510" w:type="dxa"/>
            <w:gridSpan w:val="2"/>
            <w:tcBorders>
              <w:top w:val="single" w:sz="4" w:space="0" w:color="auto"/>
            </w:tcBorders>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r>
      <w:tr w:rsidR="001F53E2" w:rsidRPr="007235F5" w:rsidTr="00824038">
        <w:trPr>
          <w:trHeight w:val="480"/>
        </w:trPr>
        <w:tc>
          <w:tcPr>
            <w:tcW w:w="3615" w:type="dxa"/>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RDS Transfer Station</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Recycling &amp; Disposal Services, Inc</w:t>
            </w:r>
            <w:r>
              <w:rPr>
                <w:sz w:val="18"/>
                <w:szCs w:val="18"/>
              </w:rPr>
              <w:t>.</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 xml:space="preserve">4916 </w:t>
            </w:r>
            <w:r>
              <w:rPr>
                <w:sz w:val="18"/>
                <w:szCs w:val="18"/>
              </w:rPr>
              <w:t>LaB</w:t>
            </w:r>
            <w:r w:rsidRPr="007235F5">
              <w:rPr>
                <w:sz w:val="18"/>
                <w:szCs w:val="18"/>
              </w:rPr>
              <w:t>ounty Pl, Ferndale, WA 98248</w:t>
            </w:r>
          </w:p>
        </w:tc>
      </w:tr>
      <w:tr w:rsidR="001F53E2" w:rsidRPr="007235F5" w:rsidTr="00824038">
        <w:trPr>
          <w:trHeight w:val="480"/>
        </w:trPr>
        <w:tc>
          <w:tcPr>
            <w:tcW w:w="3615" w:type="dxa"/>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RDC Transfer Station</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Regional Disposal Co.</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1524 Slater Rd, Ferndale, WA 98248</w:t>
            </w:r>
          </w:p>
        </w:tc>
      </w:tr>
      <w:tr w:rsidR="001F53E2" w:rsidRPr="007235F5" w:rsidTr="00824038">
        <w:trPr>
          <w:trHeight w:val="288"/>
        </w:trPr>
        <w:tc>
          <w:tcPr>
            <w:tcW w:w="3615"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Drop Box Collection Stations</w:t>
            </w:r>
          </w:p>
        </w:tc>
        <w:tc>
          <w:tcPr>
            <w:tcW w:w="2448"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c>
          <w:tcPr>
            <w:tcW w:w="3510" w:type="dxa"/>
            <w:gridSpan w:val="2"/>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SSC Birch Bay-Lynden Drop Box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Sanitary Service</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4297 Birch Bay Lynden Rd, Blaine, WA 98230</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SSC Cedarville Drop Box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Sanitary Service</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Cedarville Rd, Bellingham, WA 98226</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SSC Roeder Ave Drop Box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Sanitary Service</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1001 Roeder Ave, Bellingham, WA 98225</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Nooksack Valley Disposal Drop Box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Nooksack Valley Disposal, Inc</w:t>
            </w:r>
            <w:r>
              <w:rPr>
                <w:sz w:val="18"/>
                <w:szCs w:val="18"/>
              </w:rPr>
              <w:t>.</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250 Birch Bay-Lynden Rd, Lynden, WA 98264</w:t>
            </w:r>
          </w:p>
        </w:tc>
      </w:tr>
      <w:tr w:rsidR="001F53E2" w:rsidRPr="007235F5" w:rsidTr="00824038">
        <w:trPr>
          <w:trHeight w:val="288"/>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Cando Recycling Transfer Station</w:t>
            </w:r>
          </w:p>
        </w:tc>
        <w:tc>
          <w:tcPr>
            <w:tcW w:w="2448" w:type="dxa"/>
            <w:shd w:val="clear" w:color="auto" w:fill="auto"/>
            <w:vAlign w:val="center"/>
            <w:hideMark/>
          </w:tcPr>
          <w:p w:rsidR="001F53E2" w:rsidRPr="007235F5" w:rsidRDefault="001F53E2" w:rsidP="00824038">
            <w:pPr>
              <w:spacing w:before="0" w:after="0"/>
              <w:rPr>
                <w:sz w:val="18"/>
                <w:szCs w:val="18"/>
              </w:rPr>
            </w:pP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2005 Johnson Rd, Point Roberts, WA 98281</w:t>
            </w:r>
          </w:p>
        </w:tc>
      </w:tr>
      <w:tr w:rsidR="001F53E2" w:rsidRPr="007235F5" w:rsidTr="00824038">
        <w:trPr>
          <w:gridAfter w:val="1"/>
          <w:wAfter w:w="198" w:type="dxa"/>
          <w:trHeight w:val="288"/>
        </w:trPr>
        <w:tc>
          <w:tcPr>
            <w:tcW w:w="9375" w:type="dxa"/>
            <w:gridSpan w:val="3"/>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Moderate</w:t>
            </w:r>
            <w:r>
              <w:rPr>
                <w:color w:val="000000"/>
                <w:sz w:val="18"/>
                <w:szCs w:val="18"/>
              </w:rPr>
              <w:t>-</w:t>
            </w:r>
            <w:r w:rsidRPr="007235F5">
              <w:rPr>
                <w:color w:val="000000"/>
                <w:sz w:val="18"/>
                <w:szCs w:val="18"/>
              </w:rPr>
              <w:t>Risk Waste</w:t>
            </w:r>
            <w:r>
              <w:rPr>
                <w:color w:val="000000"/>
                <w:sz w:val="18"/>
                <w:szCs w:val="18"/>
              </w:rPr>
              <w:t xml:space="preserve"> (MRW)</w:t>
            </w:r>
            <w:r w:rsidRPr="007235F5">
              <w:rPr>
                <w:color w:val="000000"/>
                <w:sz w:val="18"/>
                <w:szCs w:val="18"/>
              </w:rPr>
              <w:t xml:space="preserve"> Facility, Public Use</w:t>
            </w:r>
          </w:p>
        </w:tc>
      </w:tr>
      <w:tr w:rsidR="001F53E2" w:rsidRPr="007235F5" w:rsidTr="00824038">
        <w:trPr>
          <w:trHeight w:val="480"/>
        </w:trPr>
        <w:tc>
          <w:tcPr>
            <w:tcW w:w="3615" w:type="dxa"/>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Whatcom County MRW Facility</w:t>
            </w:r>
          </w:p>
        </w:tc>
        <w:tc>
          <w:tcPr>
            <w:tcW w:w="2448" w:type="dxa"/>
            <w:shd w:val="clear" w:color="000000" w:fill="FFFFFF"/>
            <w:vAlign w:val="center"/>
            <w:hideMark/>
          </w:tcPr>
          <w:p w:rsidR="001F53E2" w:rsidRPr="007235F5" w:rsidRDefault="001F53E2" w:rsidP="00341F0E">
            <w:pPr>
              <w:spacing w:before="0" w:after="0"/>
              <w:rPr>
                <w:color w:val="000000"/>
                <w:sz w:val="18"/>
                <w:szCs w:val="18"/>
              </w:rPr>
            </w:pPr>
            <w:r w:rsidRPr="007235F5">
              <w:rPr>
                <w:color w:val="000000"/>
                <w:sz w:val="18"/>
                <w:szCs w:val="18"/>
              </w:rPr>
              <w:t xml:space="preserve">Whatcom County </w:t>
            </w:r>
            <w:r w:rsidR="00341F0E">
              <w:rPr>
                <w:color w:val="000000"/>
                <w:sz w:val="18"/>
                <w:szCs w:val="18"/>
              </w:rPr>
              <w:t>Health Department</w:t>
            </w:r>
          </w:p>
        </w:tc>
        <w:tc>
          <w:tcPr>
            <w:tcW w:w="3510" w:type="dxa"/>
            <w:gridSpan w:val="2"/>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3505 Airport Dr, Bellingham, WA 98226</w:t>
            </w:r>
          </w:p>
        </w:tc>
      </w:tr>
      <w:tr w:rsidR="001F53E2" w:rsidRPr="007235F5" w:rsidTr="00824038">
        <w:trPr>
          <w:gridAfter w:val="1"/>
          <w:wAfter w:w="198" w:type="dxa"/>
          <w:trHeight w:val="288"/>
        </w:trPr>
        <w:tc>
          <w:tcPr>
            <w:tcW w:w="9375" w:type="dxa"/>
            <w:gridSpan w:val="3"/>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Moderate</w:t>
            </w:r>
            <w:r>
              <w:rPr>
                <w:color w:val="000000"/>
                <w:sz w:val="18"/>
                <w:szCs w:val="18"/>
              </w:rPr>
              <w:t>-</w:t>
            </w:r>
            <w:r w:rsidRPr="007235F5">
              <w:rPr>
                <w:color w:val="000000"/>
                <w:sz w:val="18"/>
                <w:szCs w:val="18"/>
              </w:rPr>
              <w:t xml:space="preserve">Risk Waste </w:t>
            </w:r>
            <w:r>
              <w:rPr>
                <w:color w:val="000000"/>
                <w:sz w:val="18"/>
                <w:szCs w:val="18"/>
              </w:rPr>
              <w:t xml:space="preserve">(MRW) </w:t>
            </w:r>
            <w:r w:rsidRPr="007235F5">
              <w:rPr>
                <w:color w:val="000000"/>
                <w:sz w:val="18"/>
                <w:szCs w:val="18"/>
              </w:rPr>
              <w:t>Facility, Private Use</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Seattle City Light MRW Facility</w:t>
            </w:r>
          </w:p>
        </w:tc>
        <w:tc>
          <w:tcPr>
            <w:tcW w:w="2448" w:type="dxa"/>
            <w:shd w:val="clear" w:color="auto" w:fill="auto"/>
            <w:vAlign w:val="center"/>
            <w:hideMark/>
          </w:tcPr>
          <w:p w:rsidR="001F53E2" w:rsidRPr="007235F5" w:rsidRDefault="001F53E2" w:rsidP="00824038">
            <w:pPr>
              <w:spacing w:before="0" w:after="0"/>
              <w:rPr>
                <w:color w:val="000000"/>
                <w:sz w:val="18"/>
                <w:szCs w:val="18"/>
              </w:rPr>
            </w:pPr>
            <w:r w:rsidRPr="007235F5">
              <w:rPr>
                <w:color w:val="000000"/>
                <w:sz w:val="18"/>
                <w:szCs w:val="18"/>
              </w:rPr>
              <w:t>Seattle City Light</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500 Newhalem St, Rockport, WA 98283</w:t>
            </w:r>
          </w:p>
        </w:tc>
      </w:tr>
      <w:tr w:rsidR="001F53E2" w:rsidRPr="007235F5" w:rsidTr="00824038">
        <w:trPr>
          <w:trHeight w:val="288"/>
        </w:trPr>
        <w:tc>
          <w:tcPr>
            <w:tcW w:w="3615" w:type="dxa"/>
            <w:shd w:val="clear" w:color="auto" w:fill="D9D9D9" w:themeFill="background1" w:themeFillShade="D9"/>
            <w:vAlign w:val="center"/>
            <w:hideMark/>
          </w:tcPr>
          <w:p w:rsidR="001F53E2" w:rsidRPr="007235F5" w:rsidRDefault="001F53E2" w:rsidP="00824038">
            <w:pPr>
              <w:keepNext/>
              <w:spacing w:before="0" w:after="0"/>
              <w:rPr>
                <w:color w:val="000000"/>
                <w:sz w:val="18"/>
                <w:szCs w:val="18"/>
              </w:rPr>
            </w:pPr>
            <w:r w:rsidRPr="007235F5">
              <w:rPr>
                <w:color w:val="000000"/>
                <w:sz w:val="18"/>
                <w:szCs w:val="18"/>
              </w:rPr>
              <w:t>Vactor Waste Transfer Station</w:t>
            </w:r>
          </w:p>
        </w:tc>
        <w:tc>
          <w:tcPr>
            <w:tcW w:w="2448" w:type="dxa"/>
            <w:shd w:val="clear" w:color="auto" w:fill="D9D9D9" w:themeFill="background1" w:themeFillShade="D9"/>
            <w:vAlign w:val="center"/>
            <w:hideMark/>
          </w:tcPr>
          <w:p w:rsidR="001F53E2" w:rsidRPr="007235F5" w:rsidRDefault="001F53E2" w:rsidP="00824038">
            <w:pPr>
              <w:keepNext/>
              <w:spacing w:before="0" w:after="0"/>
              <w:rPr>
                <w:color w:val="000000"/>
                <w:sz w:val="18"/>
                <w:szCs w:val="18"/>
              </w:rPr>
            </w:pPr>
            <w:r w:rsidRPr="007235F5">
              <w:rPr>
                <w:color w:val="000000"/>
                <w:sz w:val="18"/>
                <w:szCs w:val="18"/>
              </w:rPr>
              <w:t> </w:t>
            </w:r>
          </w:p>
        </w:tc>
        <w:tc>
          <w:tcPr>
            <w:tcW w:w="3510" w:type="dxa"/>
            <w:gridSpan w:val="2"/>
            <w:shd w:val="clear" w:color="auto" w:fill="D9D9D9" w:themeFill="background1" w:themeFillShade="D9"/>
            <w:vAlign w:val="center"/>
            <w:hideMark/>
          </w:tcPr>
          <w:p w:rsidR="001F53E2" w:rsidRPr="007235F5" w:rsidRDefault="001F53E2" w:rsidP="00824038">
            <w:pPr>
              <w:keepNext/>
              <w:spacing w:before="0" w:after="0"/>
              <w:rPr>
                <w:color w:val="000000"/>
                <w:sz w:val="18"/>
                <w:szCs w:val="18"/>
              </w:rPr>
            </w:pPr>
            <w:r w:rsidRPr="007235F5">
              <w:rPr>
                <w:color w:val="000000"/>
                <w:sz w:val="18"/>
                <w:szCs w:val="18"/>
              </w:rPr>
              <w:t> </w:t>
            </w:r>
          </w:p>
        </w:tc>
      </w:tr>
      <w:tr w:rsidR="001F53E2" w:rsidRPr="007235F5" w:rsidTr="00824038">
        <w:trPr>
          <w:trHeight w:val="480"/>
        </w:trPr>
        <w:tc>
          <w:tcPr>
            <w:tcW w:w="3615" w:type="dxa"/>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City of Bellingham Vactor Waste Transfer Station</w:t>
            </w:r>
          </w:p>
        </w:tc>
        <w:tc>
          <w:tcPr>
            <w:tcW w:w="2448" w:type="dxa"/>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City Of Bellingham Public Works</w:t>
            </w:r>
          </w:p>
        </w:tc>
        <w:tc>
          <w:tcPr>
            <w:tcW w:w="3510" w:type="dxa"/>
            <w:gridSpan w:val="2"/>
            <w:shd w:val="clear" w:color="000000" w:fill="FFFFFF"/>
            <w:vAlign w:val="center"/>
            <w:hideMark/>
          </w:tcPr>
          <w:p w:rsidR="001F53E2" w:rsidRPr="007235F5" w:rsidRDefault="001F53E2" w:rsidP="00824038">
            <w:pPr>
              <w:spacing w:before="0" w:after="0"/>
              <w:rPr>
                <w:color w:val="000000"/>
                <w:sz w:val="18"/>
                <w:szCs w:val="18"/>
              </w:rPr>
            </w:pPr>
            <w:r w:rsidRPr="007235F5">
              <w:rPr>
                <w:color w:val="000000"/>
                <w:sz w:val="18"/>
                <w:szCs w:val="18"/>
              </w:rPr>
              <w:t>2140 Division St, Bellingham, WA 98226</w:t>
            </w:r>
          </w:p>
        </w:tc>
      </w:tr>
      <w:tr w:rsidR="001F53E2" w:rsidRPr="007235F5" w:rsidTr="00824038">
        <w:trPr>
          <w:trHeight w:val="288"/>
        </w:trPr>
        <w:tc>
          <w:tcPr>
            <w:tcW w:w="3615"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Composting Facility (permitted)</w:t>
            </w:r>
          </w:p>
        </w:tc>
        <w:tc>
          <w:tcPr>
            <w:tcW w:w="2448"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c>
          <w:tcPr>
            <w:tcW w:w="3510" w:type="dxa"/>
            <w:gridSpan w:val="2"/>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Green Earth Technology Composting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Alsand Enterprises</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774 Meadowlark Ln, Lynden, WA 98264</w:t>
            </w:r>
          </w:p>
        </w:tc>
      </w:tr>
      <w:tr w:rsidR="001F53E2" w:rsidRPr="007235F5" w:rsidTr="00824038">
        <w:trPr>
          <w:trHeight w:val="288"/>
        </w:trPr>
        <w:tc>
          <w:tcPr>
            <w:tcW w:w="3615"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Anaerobic Digester (permitted)</w:t>
            </w:r>
          </w:p>
        </w:tc>
        <w:tc>
          <w:tcPr>
            <w:tcW w:w="2448"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c>
          <w:tcPr>
            <w:tcW w:w="3510" w:type="dxa"/>
            <w:gridSpan w:val="2"/>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r>
      <w:tr w:rsidR="001F53E2" w:rsidRPr="007235F5" w:rsidTr="00824038">
        <w:trPr>
          <w:trHeight w:val="48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Edaleen Cow Power</w:t>
            </w:r>
            <w:r>
              <w:rPr>
                <w:sz w:val="18"/>
                <w:szCs w:val="18"/>
              </w:rPr>
              <w:t>,</w:t>
            </w:r>
            <w:r w:rsidRPr="007235F5">
              <w:rPr>
                <w:sz w:val="18"/>
                <w:szCs w:val="18"/>
              </w:rPr>
              <w:t xml:space="preserve"> LLC</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Edaleen Cow Power</w:t>
            </w:r>
            <w:r>
              <w:rPr>
                <w:sz w:val="18"/>
                <w:szCs w:val="18"/>
              </w:rPr>
              <w:t>,</w:t>
            </w:r>
            <w:r w:rsidRPr="007235F5">
              <w:rPr>
                <w:sz w:val="18"/>
                <w:szCs w:val="18"/>
              </w:rPr>
              <w:t xml:space="preserve"> LLC</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9593 Guide Meridian, Lynden, WA 98264</w:t>
            </w:r>
          </w:p>
        </w:tc>
      </w:tr>
      <w:tr w:rsidR="001F53E2" w:rsidRPr="007235F5" w:rsidTr="00824038">
        <w:trPr>
          <w:trHeight w:val="288"/>
        </w:trPr>
        <w:tc>
          <w:tcPr>
            <w:tcW w:w="3615"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Biosolids Land Application</w:t>
            </w:r>
            <w:r>
              <w:rPr>
                <w:color w:val="000000"/>
                <w:sz w:val="18"/>
                <w:szCs w:val="18"/>
              </w:rPr>
              <w:t xml:space="preserve"> Facilities</w:t>
            </w:r>
          </w:p>
        </w:tc>
        <w:tc>
          <w:tcPr>
            <w:tcW w:w="2448" w:type="dxa"/>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c>
          <w:tcPr>
            <w:tcW w:w="3510" w:type="dxa"/>
            <w:gridSpan w:val="2"/>
            <w:shd w:val="clear" w:color="auto" w:fill="D9D9D9" w:themeFill="background1" w:themeFillShade="D9"/>
            <w:vAlign w:val="center"/>
            <w:hideMark/>
          </w:tcPr>
          <w:p w:rsidR="001F53E2" w:rsidRPr="007235F5" w:rsidRDefault="001F53E2" w:rsidP="00824038">
            <w:pPr>
              <w:spacing w:before="0" w:after="0"/>
              <w:rPr>
                <w:color w:val="000000"/>
                <w:sz w:val="18"/>
                <w:szCs w:val="18"/>
              </w:rPr>
            </w:pPr>
            <w:r w:rsidRPr="007235F5">
              <w:rPr>
                <w:color w:val="000000"/>
                <w:sz w:val="18"/>
                <w:szCs w:val="18"/>
              </w:rPr>
              <w:t> </w:t>
            </w:r>
          </w:p>
        </w:tc>
      </w:tr>
      <w:tr w:rsidR="001F53E2" w:rsidRPr="007235F5" w:rsidTr="00824038">
        <w:trPr>
          <w:trHeight w:val="288"/>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Tjoelker Enterprises Biosolids Facility</w:t>
            </w:r>
          </w:p>
        </w:tc>
        <w:tc>
          <w:tcPr>
            <w:tcW w:w="2448" w:type="dxa"/>
            <w:shd w:val="clear" w:color="auto" w:fill="auto"/>
            <w:vAlign w:val="center"/>
            <w:hideMark/>
          </w:tcPr>
          <w:p w:rsidR="001F53E2" w:rsidRPr="007235F5" w:rsidRDefault="001F53E2" w:rsidP="00824038">
            <w:pPr>
              <w:spacing w:before="0" w:after="0"/>
              <w:rPr>
                <w:sz w:val="18"/>
                <w:szCs w:val="18"/>
              </w:rPr>
            </w:pPr>
            <w:r w:rsidRPr="007235F5">
              <w:rPr>
                <w:sz w:val="18"/>
                <w:szCs w:val="18"/>
              </w:rPr>
              <w:t>Tjoelker Enterprises</w:t>
            </w: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1530 Burk Rd, Blaine, WA 98230</w:t>
            </w:r>
          </w:p>
        </w:tc>
      </w:tr>
      <w:tr w:rsidR="001F53E2" w:rsidRPr="007235F5" w:rsidTr="00824038">
        <w:trPr>
          <w:trHeight w:val="300"/>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Shannon Tjoelker Biosolids Facility</w:t>
            </w:r>
          </w:p>
        </w:tc>
        <w:tc>
          <w:tcPr>
            <w:tcW w:w="2448" w:type="dxa"/>
            <w:shd w:val="clear" w:color="auto" w:fill="auto"/>
            <w:vAlign w:val="center"/>
            <w:hideMark/>
          </w:tcPr>
          <w:p w:rsidR="001F53E2" w:rsidRPr="007235F5" w:rsidRDefault="001F53E2" w:rsidP="00824038">
            <w:pPr>
              <w:spacing w:before="0" w:after="0"/>
              <w:rPr>
                <w:sz w:val="18"/>
                <w:szCs w:val="18"/>
              </w:rPr>
            </w:pP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1687 Burk Rd, Blaine, WA 98230</w:t>
            </w:r>
          </w:p>
        </w:tc>
      </w:tr>
      <w:tr w:rsidR="001F53E2" w:rsidRPr="007235F5" w:rsidTr="00824038">
        <w:trPr>
          <w:trHeight w:val="288"/>
        </w:trPr>
        <w:tc>
          <w:tcPr>
            <w:tcW w:w="3615" w:type="dxa"/>
            <w:shd w:val="clear" w:color="auto" w:fill="auto"/>
            <w:vAlign w:val="center"/>
            <w:hideMark/>
          </w:tcPr>
          <w:p w:rsidR="001F53E2" w:rsidRPr="007235F5" w:rsidRDefault="001F53E2" w:rsidP="00824038">
            <w:pPr>
              <w:spacing w:before="0" w:after="0"/>
              <w:rPr>
                <w:sz w:val="18"/>
                <w:szCs w:val="18"/>
              </w:rPr>
            </w:pPr>
            <w:r w:rsidRPr="007235F5">
              <w:rPr>
                <w:sz w:val="18"/>
                <w:szCs w:val="18"/>
              </w:rPr>
              <w:t>Lil John Biosolids Facility</w:t>
            </w:r>
          </w:p>
        </w:tc>
        <w:tc>
          <w:tcPr>
            <w:tcW w:w="2448" w:type="dxa"/>
            <w:shd w:val="clear" w:color="auto" w:fill="auto"/>
            <w:vAlign w:val="center"/>
            <w:hideMark/>
          </w:tcPr>
          <w:p w:rsidR="001F53E2" w:rsidRPr="007235F5" w:rsidRDefault="001F53E2" w:rsidP="00824038">
            <w:pPr>
              <w:spacing w:before="0" w:after="0"/>
              <w:rPr>
                <w:sz w:val="18"/>
                <w:szCs w:val="18"/>
              </w:rPr>
            </w:pPr>
          </w:p>
        </w:tc>
        <w:tc>
          <w:tcPr>
            <w:tcW w:w="3510" w:type="dxa"/>
            <w:gridSpan w:val="2"/>
            <w:shd w:val="clear" w:color="auto" w:fill="auto"/>
            <w:vAlign w:val="center"/>
            <w:hideMark/>
          </w:tcPr>
          <w:p w:rsidR="001F53E2" w:rsidRPr="007235F5" w:rsidRDefault="001F53E2" w:rsidP="00824038">
            <w:pPr>
              <w:spacing w:before="0" w:after="0"/>
              <w:rPr>
                <w:sz w:val="18"/>
                <w:szCs w:val="18"/>
              </w:rPr>
            </w:pPr>
            <w:r w:rsidRPr="007235F5">
              <w:rPr>
                <w:sz w:val="18"/>
                <w:szCs w:val="18"/>
              </w:rPr>
              <w:t>9497 Hill Rd, Sumas, WA 98295</w:t>
            </w:r>
          </w:p>
        </w:tc>
      </w:tr>
    </w:tbl>
    <w:p w:rsidR="00A2170E" w:rsidRDefault="001F53E2" w:rsidP="00A2170E">
      <w:pPr>
        <w:pStyle w:val="TableNotes"/>
      </w:pPr>
      <w:r>
        <w:t>Source</w:t>
      </w:r>
      <w:r w:rsidR="00A2170E">
        <w:t xml:space="preserve">: </w:t>
      </w:r>
      <w:r w:rsidR="00037A55">
        <w:rPr>
          <w:i/>
        </w:rPr>
        <w:t>Draft</w:t>
      </w:r>
      <w:r w:rsidR="00037A55" w:rsidRPr="00037A55">
        <w:rPr>
          <w:i/>
        </w:rPr>
        <w:t xml:space="preserve"> EIS Whatcom County 2016 Comprehensive Plan and Development Regulations Update and Urban Growth Areas Review</w:t>
      </w:r>
      <w:r w:rsidR="00037A55">
        <w:t xml:space="preserve"> (March</w:t>
      </w:r>
      <w:r w:rsidR="00037A55" w:rsidRPr="00037A55">
        <w:t xml:space="preserve"> 2015</w:t>
      </w:r>
      <w:r w:rsidR="00037A55">
        <w:t>, pp. 4-255 and 4-256</w:t>
      </w:r>
      <w:r w:rsidR="00037A55" w:rsidRPr="00037A55">
        <w:t>)</w:t>
      </w:r>
    </w:p>
    <w:p w:rsidR="00A2170E" w:rsidRDefault="00A2170E" w:rsidP="00A2170E">
      <w:pPr>
        <w:pStyle w:val="BodyText"/>
      </w:pPr>
    </w:p>
    <w:p w:rsidR="00A2170E" w:rsidRDefault="00AF0F94" w:rsidP="00A2170E">
      <w:pPr>
        <w:pStyle w:val="Heading3"/>
        <w:spacing w:before="240"/>
      </w:pPr>
      <w:r>
        <w:t>Future Needs</w:t>
      </w:r>
    </w:p>
    <w:p w:rsidR="00A2170E" w:rsidRDefault="00592F62" w:rsidP="00A2170E">
      <w:pPr>
        <w:pStyle w:val="BodyText"/>
      </w:pPr>
      <w:r>
        <w:t xml:space="preserve">The </w:t>
      </w:r>
      <w:r w:rsidR="00AA7EBE">
        <w:t xml:space="preserve">forecast of </w:t>
      </w:r>
      <w:r w:rsidR="00A2170E">
        <w:t>municipal solid waste</w:t>
      </w:r>
      <w:r w:rsidR="009A0572">
        <w:t xml:space="preserve"> </w:t>
      </w:r>
      <w:r w:rsidR="00D01C64">
        <w:t xml:space="preserve">(MSW) </w:t>
      </w:r>
      <w:r w:rsidR="00AA7EBE">
        <w:t xml:space="preserve">generation </w:t>
      </w:r>
      <w:r w:rsidR="00D01C64">
        <w:t xml:space="preserve">is </w:t>
      </w:r>
      <w:r w:rsidR="009A0572">
        <w:t>based upon the</w:t>
      </w:r>
      <w:r w:rsidR="00A2170E">
        <w:t xml:space="preserve"> solid waste generation</w:t>
      </w:r>
      <w:r w:rsidR="009A0572">
        <w:t xml:space="preserve"> projections in</w:t>
      </w:r>
      <w:r w:rsidR="00D21DC2">
        <w:t xml:space="preserve"> the </w:t>
      </w:r>
      <w:r w:rsidR="00D21DC2" w:rsidRPr="00592F62">
        <w:rPr>
          <w:i/>
        </w:rPr>
        <w:t xml:space="preserve">Draft </w:t>
      </w:r>
      <w:r w:rsidR="009C6EB9">
        <w:rPr>
          <w:i/>
        </w:rPr>
        <w:t xml:space="preserve">2016 </w:t>
      </w:r>
      <w:r w:rsidR="00A2170E" w:rsidRPr="00592F62">
        <w:rPr>
          <w:i/>
        </w:rPr>
        <w:t xml:space="preserve">Whatcom County </w:t>
      </w:r>
      <w:r w:rsidR="00D21DC2" w:rsidRPr="00592F62">
        <w:rPr>
          <w:i/>
        </w:rPr>
        <w:t xml:space="preserve">Comprehensive </w:t>
      </w:r>
      <w:r w:rsidR="00A2170E" w:rsidRPr="00592F62">
        <w:rPr>
          <w:i/>
        </w:rPr>
        <w:t xml:space="preserve">Solid </w:t>
      </w:r>
      <w:r w:rsidR="00D21DC2" w:rsidRPr="00592F62">
        <w:rPr>
          <w:i/>
        </w:rPr>
        <w:t xml:space="preserve">and Hazardous </w:t>
      </w:r>
      <w:r w:rsidR="00A2170E" w:rsidRPr="00592F62">
        <w:rPr>
          <w:i/>
        </w:rPr>
        <w:t>Waste Management Pl</w:t>
      </w:r>
      <w:r w:rsidR="00D21DC2" w:rsidRPr="00592F62">
        <w:rPr>
          <w:i/>
        </w:rPr>
        <w:t>an</w:t>
      </w:r>
      <w:r w:rsidR="009C6EB9">
        <w:t xml:space="preserve"> (</w:t>
      </w:r>
      <w:r w:rsidR="00341F0E">
        <w:t xml:space="preserve">Section 2.3.8, </w:t>
      </w:r>
      <w:r w:rsidR="00D01C64">
        <w:t>pp.</w:t>
      </w:r>
      <w:r w:rsidR="00D57E2A">
        <w:t xml:space="preserve"> 23</w:t>
      </w:r>
      <w:r w:rsidR="00341F0E">
        <w:t>-</w:t>
      </w:r>
      <w:r w:rsidR="00D01C64">
        <w:t>26</w:t>
      </w:r>
      <w:r w:rsidR="00A2170E">
        <w:t>).</w:t>
      </w:r>
    </w:p>
    <w:p w:rsidR="00A2170E" w:rsidRDefault="00460897" w:rsidP="00A2170E">
      <w:pPr>
        <w:pStyle w:val="BodyText"/>
      </w:pPr>
      <w:r>
        <w:t>The table</w:t>
      </w:r>
      <w:r w:rsidR="00A2170E">
        <w:t xml:space="preserve"> </w:t>
      </w:r>
      <w:r>
        <w:t xml:space="preserve">below </w:t>
      </w:r>
      <w:r w:rsidR="00D01C64">
        <w:t>shows projected total MSW generated, the amount of this waste anticipated to be disposed, and the amount anticipated to be recycled.</w:t>
      </w:r>
    </w:p>
    <w:p w:rsidR="00A2170E" w:rsidRDefault="0016410F" w:rsidP="00A2170E">
      <w:pPr>
        <w:pStyle w:val="Caption"/>
        <w:spacing w:before="240"/>
      </w:pPr>
      <w:bookmarkStart w:id="58" w:name="_Toc245621965"/>
      <w:r>
        <w:lastRenderedPageBreak/>
        <w:t>Table 15.2</w:t>
      </w:r>
      <w:r>
        <w:tab/>
      </w:r>
      <w:r w:rsidR="00A2170E">
        <w:t xml:space="preserve">Solid Waste </w:t>
      </w:r>
      <w:bookmarkEnd w:id="58"/>
      <w:r w:rsidR="00AA7EBE">
        <w:t>Generation Forecast</w:t>
      </w:r>
    </w:p>
    <w:tbl>
      <w:tblPr>
        <w:tblW w:w="7308" w:type="dxa"/>
        <w:tblBorders>
          <w:top w:val="single" w:sz="4" w:space="0" w:color="1F497D"/>
          <w:bottom w:val="single" w:sz="4" w:space="0" w:color="1F497D"/>
          <w:insideH w:val="single" w:sz="4" w:space="0" w:color="1F497D"/>
        </w:tblBorders>
        <w:tblLayout w:type="fixed"/>
        <w:tblLook w:val="04A0" w:firstRow="1" w:lastRow="0" w:firstColumn="1" w:lastColumn="0" w:noHBand="0" w:noVBand="1"/>
      </w:tblPr>
      <w:tblGrid>
        <w:gridCol w:w="738"/>
        <w:gridCol w:w="1890"/>
        <w:gridCol w:w="2340"/>
        <w:gridCol w:w="2340"/>
      </w:tblGrid>
      <w:tr w:rsidR="0071098F" w:rsidTr="009A0572">
        <w:trPr>
          <w:trHeight w:val="863"/>
        </w:trPr>
        <w:tc>
          <w:tcPr>
            <w:tcW w:w="738" w:type="dxa"/>
          </w:tcPr>
          <w:p w:rsidR="0071098F" w:rsidRDefault="0071098F" w:rsidP="005718C9">
            <w:pPr>
              <w:pStyle w:val="TableHeader"/>
            </w:pPr>
            <w:r>
              <w:t>Year</w:t>
            </w:r>
          </w:p>
        </w:tc>
        <w:tc>
          <w:tcPr>
            <w:tcW w:w="1890" w:type="dxa"/>
          </w:tcPr>
          <w:p w:rsidR="0071098F" w:rsidRDefault="009A0572" w:rsidP="005718C9">
            <w:pPr>
              <w:pStyle w:val="TableHeader"/>
            </w:pPr>
            <w:r>
              <w:t>Total MSW</w:t>
            </w:r>
          </w:p>
          <w:p w:rsidR="009A0572" w:rsidRDefault="009A0572" w:rsidP="005718C9">
            <w:pPr>
              <w:pStyle w:val="TableHeader"/>
            </w:pPr>
            <w:r>
              <w:t>Generated (tons)</w:t>
            </w:r>
          </w:p>
        </w:tc>
        <w:tc>
          <w:tcPr>
            <w:tcW w:w="2340" w:type="dxa"/>
          </w:tcPr>
          <w:p w:rsidR="009A0572" w:rsidRDefault="009A0572" w:rsidP="009A0572">
            <w:pPr>
              <w:pStyle w:val="TableHeader"/>
              <w:ind w:right="224"/>
            </w:pPr>
            <w:r>
              <w:t xml:space="preserve">Total MSW </w:t>
            </w:r>
          </w:p>
          <w:p w:rsidR="0071098F" w:rsidRPr="009A0572" w:rsidRDefault="009A0572" w:rsidP="009A0572">
            <w:pPr>
              <w:pStyle w:val="TableHeader"/>
              <w:ind w:right="224"/>
              <w:rPr>
                <w:sz w:val="16"/>
                <w:szCs w:val="16"/>
              </w:rPr>
            </w:pPr>
            <w:r>
              <w:t>Disposed (tons)</w:t>
            </w:r>
          </w:p>
        </w:tc>
        <w:tc>
          <w:tcPr>
            <w:tcW w:w="2340" w:type="dxa"/>
          </w:tcPr>
          <w:p w:rsidR="0071098F" w:rsidRDefault="009A0572" w:rsidP="009A0572">
            <w:pPr>
              <w:pStyle w:val="TableHeader"/>
            </w:pPr>
            <w:r>
              <w:t>Total MSW</w:t>
            </w:r>
          </w:p>
          <w:p w:rsidR="009A0572" w:rsidRPr="009A0572" w:rsidRDefault="009A0572" w:rsidP="009A0572">
            <w:pPr>
              <w:pStyle w:val="TableHeader"/>
              <w:rPr>
                <w:sz w:val="16"/>
                <w:szCs w:val="16"/>
              </w:rPr>
            </w:pPr>
            <w:r>
              <w:t>Recycled (tons)</w:t>
            </w:r>
          </w:p>
        </w:tc>
      </w:tr>
      <w:tr w:rsidR="0071098F" w:rsidTr="0071098F">
        <w:tc>
          <w:tcPr>
            <w:tcW w:w="738" w:type="dxa"/>
          </w:tcPr>
          <w:p w:rsidR="0071098F" w:rsidRDefault="0071098F" w:rsidP="005718C9">
            <w:pPr>
              <w:pStyle w:val="TableText"/>
            </w:pPr>
            <w:r>
              <w:t>2013</w:t>
            </w:r>
          </w:p>
          <w:p w:rsidR="0071098F" w:rsidRDefault="0071098F" w:rsidP="005718C9">
            <w:pPr>
              <w:pStyle w:val="TableText"/>
            </w:pPr>
          </w:p>
        </w:tc>
        <w:tc>
          <w:tcPr>
            <w:tcW w:w="1890" w:type="dxa"/>
          </w:tcPr>
          <w:p w:rsidR="0071098F" w:rsidRDefault="0071098F" w:rsidP="005718C9">
            <w:pPr>
              <w:pStyle w:val="TableText"/>
            </w:pPr>
            <w:r>
              <w:t xml:space="preserve">          </w:t>
            </w:r>
            <w:r w:rsidR="00AC2139">
              <w:t>249,189</w:t>
            </w:r>
          </w:p>
          <w:p w:rsidR="0071098F" w:rsidRDefault="0071098F" w:rsidP="005718C9">
            <w:pPr>
              <w:pStyle w:val="TableText"/>
            </w:pPr>
          </w:p>
        </w:tc>
        <w:tc>
          <w:tcPr>
            <w:tcW w:w="2340" w:type="dxa"/>
          </w:tcPr>
          <w:p w:rsidR="0071098F" w:rsidRDefault="00AC2139" w:rsidP="005718C9">
            <w:pPr>
              <w:pStyle w:val="TableText"/>
              <w:jc w:val="center"/>
            </w:pPr>
            <w:r>
              <w:t>135,134</w:t>
            </w:r>
          </w:p>
        </w:tc>
        <w:tc>
          <w:tcPr>
            <w:tcW w:w="2340" w:type="dxa"/>
          </w:tcPr>
          <w:p w:rsidR="0071098F" w:rsidRDefault="0071098F" w:rsidP="00AC2139">
            <w:pPr>
              <w:pStyle w:val="TableText"/>
              <w:jc w:val="center"/>
            </w:pPr>
            <w:r>
              <w:t>114,055</w:t>
            </w:r>
          </w:p>
        </w:tc>
      </w:tr>
      <w:tr w:rsidR="0071098F" w:rsidTr="0071098F">
        <w:tc>
          <w:tcPr>
            <w:tcW w:w="738" w:type="dxa"/>
          </w:tcPr>
          <w:p w:rsidR="0071098F" w:rsidRDefault="0071098F" w:rsidP="005718C9">
            <w:pPr>
              <w:pStyle w:val="TableText"/>
            </w:pPr>
            <w:r>
              <w:t>2022</w:t>
            </w:r>
          </w:p>
          <w:p w:rsidR="0071098F" w:rsidRDefault="0071098F" w:rsidP="005718C9">
            <w:pPr>
              <w:pStyle w:val="TableText"/>
            </w:pPr>
          </w:p>
        </w:tc>
        <w:tc>
          <w:tcPr>
            <w:tcW w:w="1890" w:type="dxa"/>
          </w:tcPr>
          <w:p w:rsidR="0071098F" w:rsidRDefault="0071098F" w:rsidP="009A0572">
            <w:pPr>
              <w:pStyle w:val="TableText"/>
            </w:pPr>
            <w:r>
              <w:t xml:space="preserve">          </w:t>
            </w:r>
            <w:r w:rsidR="009A0572">
              <w:t>305,000</w:t>
            </w:r>
          </w:p>
        </w:tc>
        <w:tc>
          <w:tcPr>
            <w:tcW w:w="2340" w:type="dxa"/>
          </w:tcPr>
          <w:p w:rsidR="0071098F" w:rsidRDefault="009A0572" w:rsidP="005718C9">
            <w:pPr>
              <w:pStyle w:val="TableText"/>
              <w:jc w:val="center"/>
            </w:pPr>
            <w:r>
              <w:t>160,000</w:t>
            </w:r>
          </w:p>
        </w:tc>
        <w:tc>
          <w:tcPr>
            <w:tcW w:w="2340" w:type="dxa"/>
          </w:tcPr>
          <w:p w:rsidR="0071098F" w:rsidRDefault="009A0572" w:rsidP="009A0572">
            <w:pPr>
              <w:pStyle w:val="TableText"/>
              <w:jc w:val="center"/>
            </w:pPr>
            <w:r>
              <w:t>145,000</w:t>
            </w:r>
          </w:p>
        </w:tc>
      </w:tr>
      <w:tr w:rsidR="0071098F" w:rsidTr="0071098F">
        <w:tc>
          <w:tcPr>
            <w:tcW w:w="738" w:type="dxa"/>
          </w:tcPr>
          <w:p w:rsidR="0071098F" w:rsidRDefault="0071098F" w:rsidP="005718C9">
            <w:pPr>
              <w:pStyle w:val="TableText"/>
            </w:pPr>
            <w:r>
              <w:t>2036</w:t>
            </w:r>
          </w:p>
          <w:p w:rsidR="0071098F" w:rsidRDefault="0071098F" w:rsidP="005718C9">
            <w:pPr>
              <w:pStyle w:val="TableText"/>
            </w:pPr>
          </w:p>
        </w:tc>
        <w:tc>
          <w:tcPr>
            <w:tcW w:w="1890" w:type="dxa"/>
          </w:tcPr>
          <w:p w:rsidR="0071098F" w:rsidRDefault="009A0572" w:rsidP="005718C9">
            <w:pPr>
              <w:pStyle w:val="TableText"/>
            </w:pPr>
            <w:r>
              <w:t xml:space="preserve">          </w:t>
            </w:r>
            <w:r w:rsidR="00D01C64">
              <w:t>405</w:t>
            </w:r>
            <w:r>
              <w:t>,000</w:t>
            </w:r>
          </w:p>
          <w:p w:rsidR="0071098F" w:rsidRDefault="0071098F" w:rsidP="00853CAD">
            <w:pPr>
              <w:pStyle w:val="TableText"/>
              <w:ind w:left="-4211" w:right="4429"/>
            </w:pPr>
          </w:p>
        </w:tc>
        <w:tc>
          <w:tcPr>
            <w:tcW w:w="2340" w:type="dxa"/>
          </w:tcPr>
          <w:p w:rsidR="0071098F" w:rsidRDefault="00D01C64" w:rsidP="005718C9">
            <w:pPr>
              <w:pStyle w:val="TableText"/>
              <w:jc w:val="center"/>
            </w:pPr>
            <w:r>
              <w:t>203</w:t>
            </w:r>
            <w:r w:rsidR="009A0572">
              <w:t>,000</w:t>
            </w:r>
          </w:p>
        </w:tc>
        <w:tc>
          <w:tcPr>
            <w:tcW w:w="2340" w:type="dxa"/>
          </w:tcPr>
          <w:p w:rsidR="0071098F" w:rsidRDefault="00D01C64" w:rsidP="009A0572">
            <w:pPr>
              <w:pStyle w:val="TableText"/>
              <w:jc w:val="center"/>
            </w:pPr>
            <w:r>
              <w:t>202</w:t>
            </w:r>
            <w:r w:rsidR="009A0572">
              <w:t>,00</w:t>
            </w:r>
            <w:r>
              <w:t>0</w:t>
            </w:r>
          </w:p>
        </w:tc>
      </w:tr>
    </w:tbl>
    <w:p w:rsidR="00853CAD" w:rsidRPr="009A0572" w:rsidRDefault="00853CAD" w:rsidP="00A2170E">
      <w:pPr>
        <w:pStyle w:val="BodyText"/>
        <w:rPr>
          <w:sz w:val="16"/>
          <w:szCs w:val="16"/>
        </w:rPr>
      </w:pPr>
      <w:r w:rsidRPr="009A0572">
        <w:rPr>
          <w:sz w:val="16"/>
          <w:szCs w:val="16"/>
        </w:rPr>
        <w:t xml:space="preserve">Source:  The solid waste that was deposited in landfills and recycled for 2013 is from the </w:t>
      </w:r>
      <w:r w:rsidR="0071098F" w:rsidRPr="00D01C64">
        <w:rPr>
          <w:i/>
          <w:sz w:val="16"/>
          <w:szCs w:val="16"/>
        </w:rPr>
        <w:t>Draft Whatcom County Comprehensive Solid and Hazardous Waste Management Plan</w:t>
      </w:r>
      <w:r w:rsidR="0071098F" w:rsidRPr="009A0572">
        <w:rPr>
          <w:sz w:val="16"/>
          <w:szCs w:val="16"/>
        </w:rPr>
        <w:t xml:space="preserve"> (2016, page 24).</w:t>
      </w:r>
      <w:r w:rsidR="009A0572">
        <w:rPr>
          <w:sz w:val="16"/>
          <w:szCs w:val="16"/>
        </w:rPr>
        <w:t xml:space="preserve">  The projections for 2022 an</w:t>
      </w:r>
      <w:r w:rsidR="009A0572" w:rsidRPr="009A0572">
        <w:rPr>
          <w:sz w:val="16"/>
          <w:szCs w:val="16"/>
        </w:rPr>
        <w:t>d 2036 are contained in an e-mail from Jeff Hegedus, Environmental Health Supervisor with the Whatcom County Health Department</w:t>
      </w:r>
      <w:r w:rsidR="00D01C64">
        <w:rPr>
          <w:sz w:val="16"/>
          <w:szCs w:val="16"/>
        </w:rPr>
        <w:t xml:space="preserve"> (March 10, 2016)</w:t>
      </w:r>
      <w:r w:rsidR="009A0572" w:rsidRPr="009A0572">
        <w:rPr>
          <w:sz w:val="16"/>
          <w:szCs w:val="16"/>
        </w:rPr>
        <w:t xml:space="preserve">. </w:t>
      </w:r>
    </w:p>
    <w:p w:rsidR="00A2170E" w:rsidRDefault="00A2170E" w:rsidP="00A2170E">
      <w:pPr>
        <w:pStyle w:val="BodyText"/>
      </w:pPr>
      <w:r>
        <w:t>The County uses waste generation forecasting as a vital element of solid waste management planning. The County uses this data to help address waste prevention, recycling and special waste issues. The County updates its waste generation models periodically and uses them in conjunction with program and facility planning and evaluation.</w:t>
      </w:r>
    </w:p>
    <w:p w:rsidR="00A2170E" w:rsidRDefault="00A2170E" w:rsidP="00A2170E">
      <w:pPr>
        <w:pStyle w:val="Heading3"/>
      </w:pPr>
      <w:bookmarkStart w:id="59" w:name="_Toc245621861"/>
      <w:r>
        <w:t>Capital Projects and Funding</w:t>
      </w:r>
      <w:bookmarkEnd w:id="59"/>
    </w:p>
    <w:p w:rsidR="003F5BC7" w:rsidRPr="00371873" w:rsidRDefault="00A2170E">
      <w:pPr>
        <w:pStyle w:val="BodyText"/>
      </w:pPr>
      <w:r>
        <w:t xml:space="preserve">Currently, the </w:t>
      </w:r>
      <w:r w:rsidR="00AC2139">
        <w:t xml:space="preserve">only County capital facility is the </w:t>
      </w:r>
      <w:r w:rsidR="00AC2139" w:rsidRPr="00AC2139">
        <w:t>Whatcom County Moderate-Risk Waste Facility</w:t>
      </w:r>
      <w:r w:rsidR="00AC2139">
        <w:t xml:space="preserve"> on Airport Dr. </w:t>
      </w:r>
      <w:r w:rsidR="00AC2139" w:rsidRPr="00AC2139">
        <w:t xml:space="preserve"> </w:t>
      </w:r>
      <w:r w:rsidR="00371873">
        <w:t xml:space="preserve">Whatcom County </w:t>
      </w:r>
      <w:r>
        <w:t>Solid Waste Division has no capital projects</w:t>
      </w:r>
      <w:bookmarkStart w:id="60" w:name="OLE_LINK10"/>
      <w:bookmarkStart w:id="61" w:name="OLE_LINK11"/>
      <w:r w:rsidR="00371873">
        <w:t xml:space="preserve"> for County facilities</w:t>
      </w:r>
      <w:r>
        <w:t>.</w:t>
      </w:r>
      <w:bookmarkEnd w:id="9"/>
      <w:bookmarkEnd w:id="60"/>
      <w:bookmarkEnd w:id="61"/>
      <w:r w:rsidR="00371873">
        <w:t xml:space="preserve">  However, the </w:t>
      </w:r>
      <w:r w:rsidR="00371873" w:rsidRPr="00371873">
        <w:rPr>
          <w:i/>
        </w:rPr>
        <w:t xml:space="preserve">Draft </w:t>
      </w:r>
      <w:r w:rsidR="009C6EB9">
        <w:rPr>
          <w:i/>
        </w:rPr>
        <w:t xml:space="preserve">2016 </w:t>
      </w:r>
      <w:r w:rsidR="00371873" w:rsidRPr="00371873">
        <w:rPr>
          <w:i/>
        </w:rPr>
        <w:t>Whatcom County Comprehensive Solid and Hazardous Waste Management Plan</w:t>
      </w:r>
      <w:r w:rsidR="00371873">
        <w:t xml:space="preserve"> states “. . . </w:t>
      </w:r>
      <w:r w:rsidR="00AC2139">
        <w:t>The County will continue to work with the private solid waste service providers to ensure that facility capacity is constructed in advance of need . . .”</w:t>
      </w:r>
      <w:r w:rsidR="00371873">
        <w:t xml:space="preserve"> (</w:t>
      </w:r>
      <w:r w:rsidR="00341F0E">
        <w:t xml:space="preserve">Section 2.3.8, </w:t>
      </w:r>
      <w:r w:rsidR="00371873">
        <w:t>p. 25).</w:t>
      </w:r>
    </w:p>
    <w:p w:rsidR="00BD57C9" w:rsidRDefault="00BD57C9">
      <w:pPr>
        <w:pStyle w:val="BodyText"/>
      </w:pPr>
    </w:p>
    <w:p w:rsidR="00BD57C9" w:rsidRDefault="00BD57C9">
      <w:pPr>
        <w:pStyle w:val="BodyText"/>
      </w:pPr>
    </w:p>
    <w:p w:rsidR="00BD57C9" w:rsidRDefault="00BD57C9">
      <w:pPr>
        <w:pStyle w:val="BodyText"/>
      </w:pPr>
    </w:p>
    <w:p w:rsidR="00AF0F94" w:rsidRDefault="00AF0F94">
      <w:pPr>
        <w:pStyle w:val="BodyText"/>
      </w:pPr>
    </w:p>
    <w:p w:rsidR="00AF0F94" w:rsidRDefault="00AF0F94">
      <w:pPr>
        <w:pStyle w:val="BodyText"/>
      </w:pPr>
    </w:p>
    <w:p w:rsidR="00AF0F94" w:rsidRDefault="00AF0F94">
      <w:pPr>
        <w:pStyle w:val="BodyText"/>
      </w:pPr>
    </w:p>
    <w:p w:rsidR="00AF0F94" w:rsidRDefault="00AF0F94">
      <w:pPr>
        <w:pStyle w:val="BodyText"/>
      </w:pPr>
    </w:p>
    <w:p w:rsidR="00AF0F94" w:rsidRDefault="00AF0F94">
      <w:pPr>
        <w:pStyle w:val="BodyText"/>
      </w:pPr>
    </w:p>
    <w:p w:rsidR="003F5BC7" w:rsidRDefault="00112C1C" w:rsidP="002D3F7D">
      <w:pPr>
        <w:pStyle w:val="TOAHeading"/>
      </w:pPr>
      <w:r>
        <w:lastRenderedPageBreak/>
        <w:t>Chapter 16</w:t>
      </w:r>
      <w:r w:rsidR="00227520">
        <w:t xml:space="preserve"> – County Revenue Projections</w:t>
      </w:r>
    </w:p>
    <w:p w:rsidR="002D3F7D" w:rsidRDefault="002D3F7D" w:rsidP="002D3F7D">
      <w:pPr>
        <w:pStyle w:val="Heading2"/>
      </w:pPr>
      <w:bookmarkStart w:id="62" w:name="_Toc245621818"/>
      <w:r>
        <w:t xml:space="preserve">Whatcom County </w:t>
      </w:r>
      <w:r w:rsidRPr="00064166">
        <w:t>Capital Facilities Revenue Analysis</w:t>
      </w:r>
      <w:bookmarkEnd w:id="62"/>
    </w:p>
    <w:p w:rsidR="002D3F7D" w:rsidRDefault="002D3F7D" w:rsidP="002D3F7D">
      <w:pPr>
        <w:pStyle w:val="BodyText"/>
      </w:pPr>
      <w:r>
        <w:t xml:space="preserve">This section discusses Whatcom County’s Capital Facilities Revenue for County-provided facilities and services.  It assumes the County continues to be responsible for Birch Bay and Columbia Valley.  </w:t>
      </w:r>
    </w:p>
    <w:p w:rsidR="002D3F7D" w:rsidRDefault="002D3F7D" w:rsidP="002D3F7D">
      <w:pPr>
        <w:pStyle w:val="Heading3"/>
      </w:pPr>
      <w:bookmarkStart w:id="63" w:name="_Toc245621819"/>
      <w:r>
        <w:t>Introduction</w:t>
      </w:r>
      <w:bookmarkEnd w:id="63"/>
    </w:p>
    <w:p w:rsidR="002D3F7D" w:rsidRDefault="002D3F7D" w:rsidP="002D3F7D">
      <w:pPr>
        <w:pStyle w:val="BodyText"/>
      </w:pPr>
      <w:r>
        <w:t>The purpose of this financial analysis is to support the financing plan for the Capital Facilities Plan (CFP) that is required by RCW 36.70A.070(3). These revenue estimates have been developed to assist in project prioritization and planning, and represent realistic, but not exact, estimates of revenue available for the CFP.</w:t>
      </w:r>
      <w:r>
        <w:rPr>
          <w:rStyle w:val="FootnoteReference"/>
        </w:rPr>
        <w:footnoteReference w:id="1"/>
      </w:r>
    </w:p>
    <w:p w:rsidR="002D3F7D" w:rsidRDefault="002D3F7D" w:rsidP="002D3F7D">
      <w:pPr>
        <w:pStyle w:val="BodyText"/>
      </w:pPr>
      <w:r>
        <w:t>Estimated future revenues have been projected for the Plan’s 2017-2036 time period, in year of expenditure dollars</w:t>
      </w:r>
      <w:r>
        <w:rPr>
          <w:rStyle w:val="FootnoteReference"/>
          <w:i/>
        </w:rPr>
        <w:footnoteReference w:id="2"/>
      </w:r>
      <w:r>
        <w:t>. These revenues have been grouped according to the following categories:</w:t>
      </w:r>
    </w:p>
    <w:p w:rsidR="002D3F7D" w:rsidRDefault="002D3F7D" w:rsidP="002D3F7D">
      <w:pPr>
        <w:pStyle w:val="ListBullet"/>
      </w:pPr>
      <w:r>
        <w:t>Undedicated Transportation Revenues – are composed of Road Fund revenues from the following sources: county road property tax levy, motor vehicle fuel tax allocations, and other undedicated transportation revenues including state timber sales, County Arterial Preservation Grant, Federal Forest Title I entitlement payments, forest excise tax, and minor miscellaneous sources.</w:t>
      </w:r>
    </w:p>
    <w:p w:rsidR="002D3F7D" w:rsidRDefault="002D3F7D" w:rsidP="002D3F7D">
      <w:pPr>
        <w:pStyle w:val="ListBullet"/>
      </w:pPr>
      <w:r>
        <w:t>Dedicated Capital Transportation Revenues – these revenues are required by law to be used for specific types of capital expenditures.</w:t>
      </w:r>
    </w:p>
    <w:p w:rsidR="002D3F7D" w:rsidRDefault="002D3F7D" w:rsidP="002D3F7D">
      <w:pPr>
        <w:pStyle w:val="ListBullet"/>
      </w:pPr>
      <w:r>
        <w:t>Other Capital Revenues – these revenues must be used for capital, but they are not transportation specific.  They include Real Estate Excise Tax (REET), Rural Counties Public Facilities Tax, Conservation Futures, Parks State Grants, Stormwater State and Federal Grants.</w:t>
      </w:r>
    </w:p>
    <w:p w:rsidR="002D3F7D" w:rsidRDefault="002D3F7D" w:rsidP="002D3F7D">
      <w:pPr>
        <w:pStyle w:val="ListBullet"/>
      </w:pPr>
      <w:r>
        <w:t>Potential Policy Options – these policy options may make additional capital revenues available to the County via policy changes.</w:t>
      </w:r>
    </w:p>
    <w:p w:rsidR="002D3F7D" w:rsidRPr="00064166" w:rsidRDefault="002D3F7D" w:rsidP="002D3F7D">
      <w:pPr>
        <w:pStyle w:val="BodyText"/>
      </w:pPr>
      <w:r>
        <w:t xml:space="preserve">Some of the funds discussed in this analysis may be used to fund the maintenance and operations of existing capital facilities or to construct new ones. However, if maintenance and operations costs of existing facilities increase faster than the revenues that support them, jurisdictions are confronted with difficult decisions regarding whether to fund these costs, at the expense of building new capital projects, or to adjust Level of Service (LOS) standards. Those decisions will be made by the County Council and executive leadership of the County according to the County’s needs and opportunities. </w:t>
      </w:r>
    </w:p>
    <w:p w:rsidR="002D3F7D" w:rsidRDefault="002D3F7D" w:rsidP="002D3F7D">
      <w:pPr>
        <w:pStyle w:val="Heading3"/>
      </w:pPr>
      <w:bookmarkStart w:id="64" w:name="_Toc245621820"/>
      <w:r>
        <w:lastRenderedPageBreak/>
        <w:t>Assumptions</w:t>
      </w:r>
      <w:bookmarkEnd w:id="64"/>
    </w:p>
    <w:p w:rsidR="002D3F7D" w:rsidRDefault="002D3F7D" w:rsidP="002D3F7D">
      <w:pPr>
        <w:pStyle w:val="BodyText"/>
      </w:pPr>
      <w:r>
        <w:t xml:space="preserve">The revenue projections included in this analysis are based on the assumption that all city UGAs in Whatcom County will be annexed by their respective cities by the end of the study period, and that Birch Bay, Cherry Point and Columbia Valley will remain unincorporated for the duration. To the extent that a city’s UGA represents land that is needed to accommodate the next 20 years of projected growth, and that actual patterns of growth are in line with the patterns envisioned in the Comprehensive Plan, one would expect that most or all of these areas will be annexed during the study period.  The schedule at which annexations will occur is unknown; therefore, for purposes of this study they are assumed to occur in equal increments each year.  Assuming complete annexation also gives this analysis the most conservative estimate of future revenues. </w:t>
      </w:r>
      <w:r w:rsidRPr="00926208">
        <w:t>A discussion of the implications of more scaled-back levels of annexation follows the base revenue projections.</w:t>
      </w:r>
    </w:p>
    <w:p w:rsidR="002D3F7D" w:rsidRPr="007E214E" w:rsidRDefault="002D3F7D" w:rsidP="002D3F7D">
      <w:pPr>
        <w:pStyle w:val="Heading5"/>
        <w:rPr>
          <w:b/>
        </w:rPr>
      </w:pPr>
      <w:bookmarkStart w:id="65" w:name="_Toc245621821"/>
      <w:r w:rsidRPr="007E214E">
        <w:rPr>
          <w:b/>
        </w:rPr>
        <w:t>Undedicated Transportation Revenues</w:t>
      </w:r>
      <w:bookmarkEnd w:id="65"/>
    </w:p>
    <w:p w:rsidR="002D3F7D" w:rsidRDefault="002D3F7D" w:rsidP="002D3F7D">
      <w:pPr>
        <w:pStyle w:val="Heading5"/>
        <w:rPr>
          <w:rFonts w:ascii="Times New Roman" w:hAnsi="Times New Roman"/>
          <w:color w:val="auto"/>
          <w:sz w:val="22"/>
          <w:szCs w:val="22"/>
        </w:rPr>
      </w:pPr>
      <w:r w:rsidRPr="007E214E">
        <w:rPr>
          <w:rFonts w:ascii="Times New Roman" w:hAnsi="Times New Roman"/>
          <w:color w:val="auto"/>
          <w:sz w:val="22"/>
          <w:szCs w:val="22"/>
        </w:rPr>
        <w:t>Un</w:t>
      </w:r>
      <w:r>
        <w:rPr>
          <w:rFonts w:ascii="Times New Roman" w:hAnsi="Times New Roman"/>
          <w:color w:val="auto"/>
          <w:sz w:val="22"/>
          <w:szCs w:val="22"/>
        </w:rPr>
        <w:t>dedicated transportation revenues are unrestricted</w:t>
      </w:r>
      <w:r w:rsidRPr="007E214E">
        <w:rPr>
          <w:rFonts w:ascii="Times New Roman" w:hAnsi="Times New Roman"/>
          <w:color w:val="auto"/>
          <w:sz w:val="22"/>
          <w:szCs w:val="22"/>
        </w:rPr>
        <w:t xml:space="preserve"> Road Fund revenues</w:t>
      </w:r>
      <w:r>
        <w:rPr>
          <w:rFonts w:ascii="Times New Roman" w:hAnsi="Times New Roman"/>
          <w:color w:val="auto"/>
          <w:sz w:val="22"/>
          <w:szCs w:val="22"/>
        </w:rPr>
        <w:t>.  These revenues</w:t>
      </w:r>
      <w:r w:rsidRPr="007E214E">
        <w:rPr>
          <w:rFonts w:ascii="Times New Roman" w:hAnsi="Times New Roman"/>
          <w:color w:val="auto"/>
          <w:sz w:val="22"/>
          <w:szCs w:val="22"/>
        </w:rPr>
        <w:t xml:space="preserve"> are used to fund administration, engineering, road maintenance &amp; operations, ferry operations and construction.  About </w:t>
      </w:r>
      <w:r>
        <w:rPr>
          <w:rFonts w:ascii="Times New Roman" w:hAnsi="Times New Roman"/>
          <w:color w:val="auto"/>
          <w:sz w:val="22"/>
          <w:szCs w:val="22"/>
        </w:rPr>
        <w:t>19</w:t>
      </w:r>
      <w:r w:rsidRPr="007E214E">
        <w:rPr>
          <w:rFonts w:ascii="Times New Roman" w:hAnsi="Times New Roman"/>
          <w:color w:val="auto"/>
          <w:sz w:val="22"/>
          <w:szCs w:val="22"/>
        </w:rPr>
        <w:t xml:space="preserve">% of unrestricted road revenues are available for construction activities.  A discussion of the major sources of these revenues follows: </w:t>
      </w:r>
    </w:p>
    <w:p w:rsidR="002D3F7D" w:rsidRPr="007E214E" w:rsidRDefault="002D3F7D" w:rsidP="002D3F7D">
      <w:pPr>
        <w:pStyle w:val="Heading5"/>
        <w:rPr>
          <w:rFonts w:ascii="Times New Roman" w:hAnsi="Times New Roman"/>
          <w:color w:val="auto"/>
          <w:sz w:val="22"/>
          <w:szCs w:val="22"/>
        </w:rPr>
      </w:pPr>
      <w:r>
        <w:t>County Road Property Tax Levy</w:t>
      </w:r>
    </w:p>
    <w:p w:rsidR="002D3F7D" w:rsidRPr="00A20E91" w:rsidRDefault="002D3F7D" w:rsidP="002D3F7D">
      <w:pPr>
        <w:pStyle w:val="BodyText"/>
      </w:pPr>
      <w:r w:rsidRPr="00A20E91">
        <w:t xml:space="preserve">This </w:t>
      </w:r>
      <w:r>
        <w:t>p</w:t>
      </w:r>
      <w:r w:rsidRPr="00A20E91">
        <w:t xml:space="preserve">roperty </w:t>
      </w:r>
      <w:r>
        <w:t>t</w:t>
      </w:r>
      <w:r w:rsidRPr="00A20E91">
        <w:t xml:space="preserve">ax is collected by Whatcom County specifically for transportation funding and accounts for a large portion of the County’s transportation funds. Since the passage of Initiative 747 in 2001, </w:t>
      </w:r>
      <w:r>
        <w:t>p</w:t>
      </w:r>
      <w:r w:rsidRPr="00A20E91">
        <w:t xml:space="preserve">roperty tax increases are restricted to 1.0% of the previous year’s revenues plus new construction. In inflation-adjusted terms, revenues from property tax are actually declining, since the 1.0% allowed increase does not keep pace with inflation (which has averaged </w:t>
      </w:r>
      <w:r>
        <w:t>2.53</w:t>
      </w:r>
      <w:r w:rsidRPr="00A20E91">
        <w:t xml:space="preserve">% </w:t>
      </w:r>
      <w:r>
        <w:t>for the period</w:t>
      </w:r>
      <w:r w:rsidRPr="00A20E91">
        <w:t xml:space="preserve"> 19</w:t>
      </w:r>
      <w:r>
        <w:t>9</w:t>
      </w:r>
      <w:r w:rsidRPr="00A20E91">
        <w:t>0</w:t>
      </w:r>
      <w:r>
        <w:t xml:space="preserve"> - 2015</w:t>
      </w:r>
      <w:r w:rsidRPr="00A20E91">
        <w:t>).</w:t>
      </w:r>
    </w:p>
    <w:p w:rsidR="002D3F7D" w:rsidRDefault="002D3F7D" w:rsidP="002D3F7D">
      <w:pPr>
        <w:pStyle w:val="BodyText"/>
      </w:pPr>
      <w:r>
        <w:t>If a jurisdiction does not adjust the Property Tax levy rate annually to collect the full 1.0% allowed increase in revenues, the difference between the collected value and the legally-allowed 1.0% increase becomes “banked capacity” which may be collected in future years</w:t>
      </w:r>
      <w:r w:rsidRPr="00651ED8">
        <w:t>. Currently</w:t>
      </w:r>
      <w:r>
        <w:t xml:space="preserve"> Whatcom County has banked capacity of approximately </w:t>
      </w:r>
      <w:r w:rsidRPr="00651ED8">
        <w:t>$1.</w:t>
      </w:r>
      <w:r>
        <w:t xml:space="preserve">8 </w:t>
      </w:r>
      <w:r w:rsidRPr="00651ED8">
        <w:t>million</w:t>
      </w:r>
      <w:r>
        <w:t xml:space="preserve">. For this portion of the analysis we have assumed that the County will </w:t>
      </w:r>
      <w:r>
        <w:rPr>
          <w:i/>
        </w:rPr>
        <w:t>not</w:t>
      </w:r>
      <w:r>
        <w:t xml:space="preserve"> increase the levy rate to collect this banked capacity, nor will they collect the allowed 1.0% increase, but will continue to collect funds at a level equal to the previous year’s revenues, plus new construction. By not taking the maximum allowed annual revenue increase, the County’s banked capacity will increase each year. </w:t>
      </w:r>
    </w:p>
    <w:p w:rsidR="002D3F7D" w:rsidRDefault="002D3F7D" w:rsidP="002D3F7D">
      <w:pPr>
        <w:pStyle w:val="Heading5"/>
      </w:pPr>
      <w:r>
        <w:t>State Motor Vehicle Fuel Tax</w:t>
      </w:r>
    </w:p>
    <w:p w:rsidR="002D3F7D" w:rsidRDefault="002D3F7D" w:rsidP="002D3F7D">
      <w:pPr>
        <w:pStyle w:val="BodyText"/>
      </w:pPr>
      <w:r>
        <w:t xml:space="preserve">Counties and cities receive a portion of the State Motor Vehicle Fuel Tax (MVF) based on a complex reimbursement formula that includes population, road maintenance and reconstruction costs, and annual needs.  The State of Washington increased fuel taxes each year during the period of 2005-2008 but most revenues went to state projects while funding to the County has only increased marginally since 2006 from $3.7 million to $3.9 million.  The Legislature increased gas taxes again in 2015, with another increase taking effect in 2016, these increases are also not </w:t>
      </w:r>
      <w:r>
        <w:lastRenderedPageBreak/>
        <w:t>expected to significantly impact County revenues.  Revenues from this funding source are forecast to increase modestly at 1.89% per year.</w:t>
      </w:r>
    </w:p>
    <w:p w:rsidR="002D3F7D" w:rsidRDefault="002D3F7D" w:rsidP="002D3F7D">
      <w:pPr>
        <w:pStyle w:val="Heading5"/>
      </w:pPr>
      <w:r>
        <w:t>Other Undedicated Transportation Revenues</w:t>
      </w:r>
    </w:p>
    <w:p w:rsidR="002D3F7D" w:rsidRPr="00A42A09" w:rsidRDefault="002D3F7D" w:rsidP="002D3F7D">
      <w:pPr>
        <w:pStyle w:val="BodyText"/>
      </w:pPr>
      <w:r>
        <w:t xml:space="preserve">The State Legislature increased the County Arterial Preservation funding to Whatcom County from $420,000 per year to $515,000 in 2012.  This funding source has increased in small increments to $577,822 in 2015.  It is forecast to increase in line with the Motor Vehicle Fuel Tax at 1.89% per year.  Federal Forest – Title I revenue has been decreasing in recent years and is expected to be phased out by the federal government within a few years. Forest excise tax (previously known as private harvest tax) and state timber sale revenues fluctuate based on market conditions.  Other undedicated sources include delinquent property taxes, leasehold excise tax, and minor miscellaneous amounts.  For purposes of this study, forest excise tax, timber sales and other undedicated sources have been combined and projected based on the average of the amounts received in the last six years from these sources. </w:t>
      </w:r>
    </w:p>
    <w:p w:rsidR="002D3F7D" w:rsidRDefault="00E12B2B" w:rsidP="002D3F7D">
      <w:pPr>
        <w:pStyle w:val="BodyText"/>
        <w:rPr>
          <w:noProof/>
        </w:rPr>
      </w:pPr>
      <w:r>
        <w:rPr>
          <w:rFonts w:ascii="Arial Narrow" w:hAnsi="Arial Narrow"/>
          <w:b/>
          <w:sz w:val="24"/>
        </w:rPr>
        <w:t>Figure 16-</w:t>
      </w:r>
      <w:r w:rsidR="002D3F7D">
        <w:rPr>
          <w:rFonts w:ascii="Arial Narrow" w:hAnsi="Arial Narrow"/>
          <w:b/>
          <w:sz w:val="24"/>
        </w:rPr>
        <w:t>1</w:t>
      </w:r>
      <w:r w:rsidR="002D3F7D" w:rsidRPr="007E214E">
        <w:rPr>
          <w:rFonts w:ascii="Arial Narrow" w:hAnsi="Arial Narrow"/>
          <w:b/>
          <w:sz w:val="24"/>
        </w:rPr>
        <w:t>.</w:t>
      </w:r>
      <w:r w:rsidR="002D3F7D" w:rsidRPr="007E214E">
        <w:rPr>
          <w:rFonts w:ascii="Arial Narrow" w:hAnsi="Arial Narrow"/>
          <w:b/>
          <w:sz w:val="24"/>
        </w:rPr>
        <w:tab/>
        <w:t xml:space="preserve">Whatcom County </w:t>
      </w:r>
      <w:r w:rsidR="002D3F7D">
        <w:rPr>
          <w:rFonts w:ascii="Arial Narrow" w:hAnsi="Arial Narrow"/>
          <w:b/>
          <w:sz w:val="24"/>
        </w:rPr>
        <w:t>Undedicated Transportation</w:t>
      </w:r>
      <w:r w:rsidR="002D3F7D" w:rsidRPr="007E214E">
        <w:rPr>
          <w:rFonts w:ascii="Arial Narrow" w:hAnsi="Arial Narrow"/>
          <w:b/>
          <w:sz w:val="24"/>
        </w:rPr>
        <w:t xml:space="preserve"> Revenues 199</w:t>
      </w:r>
      <w:r w:rsidR="002D3F7D">
        <w:rPr>
          <w:rFonts w:ascii="Arial Narrow" w:hAnsi="Arial Narrow"/>
          <w:b/>
          <w:sz w:val="24"/>
        </w:rPr>
        <w:t>3</w:t>
      </w:r>
      <w:r w:rsidR="002D3F7D" w:rsidRPr="007E214E">
        <w:rPr>
          <w:rFonts w:ascii="Arial Narrow" w:hAnsi="Arial Narrow"/>
          <w:b/>
          <w:sz w:val="24"/>
        </w:rPr>
        <w:t>-2036</w:t>
      </w:r>
      <w:r w:rsidR="002D3F7D">
        <w:rPr>
          <w:rFonts w:ascii="Arial Narrow" w:hAnsi="Arial Narrow"/>
          <w:b/>
          <w:sz w:val="24"/>
        </w:rPr>
        <w:t>*</w:t>
      </w:r>
    </w:p>
    <w:p w:rsidR="002D3F7D" w:rsidRDefault="002D3F7D" w:rsidP="002D3F7D">
      <w:pPr>
        <w:pStyle w:val="BodyText"/>
      </w:pPr>
      <w:r>
        <w:rPr>
          <w:noProof/>
        </w:rPr>
        <w:drawing>
          <wp:inline distT="0" distB="0" distL="0" distR="0" wp14:anchorId="7D177A48" wp14:editId="08BB1492">
            <wp:extent cx="5943600" cy="400875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D3F7D" w:rsidRDefault="002D3F7D" w:rsidP="002D3F7D">
      <w:pPr>
        <w:pStyle w:val="BodyText"/>
      </w:pPr>
      <w:r>
        <w:t xml:space="preserve">*1993 – 2015 data represents actual undedicated transportation revenues used for construction and 2016 -2036 projected amounts of undedicated revenues available for construction activities. This study assumes Public Works will utilize 19% of its undedicated transportation revenues for capital projects. Federal and state grants were heavily utilized in the period of 2008 - 2014; therefore, less local funding was consumed. Excess revenues have been reserved in the Road fund balance. </w:t>
      </w:r>
    </w:p>
    <w:p w:rsidR="002D3F7D" w:rsidRDefault="00E12B2B" w:rsidP="002D3F7D">
      <w:pPr>
        <w:pStyle w:val="BodyText"/>
      </w:pPr>
      <w:r>
        <w:lastRenderedPageBreak/>
        <w:t>Table 16-</w:t>
      </w:r>
      <w:r w:rsidR="002D3F7D">
        <w:t xml:space="preserve">1 shows anticipated total Undedicated Transportation Revenues available for capital construction the next six years and the remaining 14 years of the planning period. </w:t>
      </w:r>
    </w:p>
    <w:p w:rsidR="002D3F7D" w:rsidRDefault="00E12B2B" w:rsidP="002D3F7D">
      <w:pPr>
        <w:pStyle w:val="BodyText"/>
        <w:rPr>
          <w:rFonts w:ascii="Arial Narrow" w:hAnsi="Arial Narrow"/>
          <w:b/>
          <w:sz w:val="24"/>
        </w:rPr>
      </w:pPr>
      <w:r>
        <w:rPr>
          <w:rFonts w:ascii="Arial Narrow" w:hAnsi="Arial Narrow"/>
          <w:b/>
          <w:sz w:val="24"/>
        </w:rPr>
        <w:t>Table 16-</w:t>
      </w:r>
      <w:r w:rsidR="002D3F7D">
        <w:rPr>
          <w:rFonts w:ascii="Arial Narrow" w:hAnsi="Arial Narrow"/>
          <w:b/>
          <w:sz w:val="24"/>
        </w:rPr>
        <w:t>1</w:t>
      </w:r>
      <w:r w:rsidR="002D3F7D" w:rsidRPr="007E214E">
        <w:rPr>
          <w:rFonts w:ascii="Arial Narrow" w:hAnsi="Arial Narrow"/>
          <w:b/>
          <w:sz w:val="24"/>
        </w:rPr>
        <w:t>.</w:t>
      </w:r>
      <w:r w:rsidR="002D3F7D" w:rsidRPr="007E214E">
        <w:rPr>
          <w:rFonts w:ascii="Arial Narrow" w:hAnsi="Arial Narrow"/>
          <w:b/>
          <w:sz w:val="24"/>
        </w:rPr>
        <w:tab/>
        <w:t xml:space="preserve">Projected Future Whatcom County </w:t>
      </w:r>
      <w:r w:rsidR="002D3F7D">
        <w:rPr>
          <w:rFonts w:ascii="Arial Narrow" w:hAnsi="Arial Narrow"/>
          <w:b/>
          <w:sz w:val="24"/>
        </w:rPr>
        <w:t>Undedicated Transportation</w:t>
      </w:r>
      <w:r w:rsidR="002D3F7D" w:rsidRPr="007E214E">
        <w:rPr>
          <w:rFonts w:ascii="Arial Narrow" w:hAnsi="Arial Narrow"/>
          <w:b/>
          <w:sz w:val="24"/>
        </w:rPr>
        <w:t xml:space="preserve"> Revenues 201</w:t>
      </w:r>
      <w:r w:rsidR="002D3F7D">
        <w:rPr>
          <w:rFonts w:ascii="Arial Narrow" w:hAnsi="Arial Narrow"/>
          <w:b/>
          <w:sz w:val="24"/>
        </w:rPr>
        <w:t>7</w:t>
      </w:r>
      <w:r w:rsidR="002D3F7D" w:rsidRPr="007E214E">
        <w:rPr>
          <w:rFonts w:ascii="Arial Narrow" w:hAnsi="Arial Narrow"/>
          <w:b/>
          <w:sz w:val="24"/>
        </w:rPr>
        <w:t>-2036</w:t>
      </w:r>
    </w:p>
    <w:p w:rsidR="002D3F7D" w:rsidRDefault="002D3F7D" w:rsidP="002D3F7D">
      <w:pPr>
        <w:pStyle w:val="BodyText"/>
        <w:rPr>
          <w:rFonts w:ascii="Arial Narrow" w:hAnsi="Arial Narrow"/>
          <w:b/>
          <w:sz w:val="24"/>
        </w:rPr>
      </w:pPr>
      <w:r w:rsidRPr="001B79DA">
        <w:rPr>
          <w:noProof/>
        </w:rPr>
        <w:drawing>
          <wp:inline distT="0" distB="0" distL="0" distR="0" wp14:anchorId="1B094F39" wp14:editId="4F3109D5">
            <wp:extent cx="626745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495300"/>
                    </a:xfrm>
                    <a:prstGeom prst="rect">
                      <a:avLst/>
                    </a:prstGeom>
                    <a:noFill/>
                    <a:ln>
                      <a:noFill/>
                    </a:ln>
                  </pic:spPr>
                </pic:pic>
              </a:graphicData>
            </a:graphic>
          </wp:inline>
        </w:drawing>
      </w:r>
    </w:p>
    <w:p w:rsidR="002D3F7D" w:rsidRDefault="002D3F7D" w:rsidP="002D3F7D">
      <w:pPr>
        <w:spacing w:before="0" w:after="0"/>
        <w:rPr>
          <w:rFonts w:ascii="Arial Narrow" w:hAnsi="Arial Narrow"/>
          <w:b/>
          <w:sz w:val="30"/>
          <w:szCs w:val="30"/>
        </w:rPr>
      </w:pPr>
      <w:r>
        <w:rPr>
          <w:rFonts w:ascii="Arial Narrow" w:hAnsi="Arial Narrow"/>
          <w:b/>
          <w:sz w:val="30"/>
          <w:szCs w:val="30"/>
        </w:rPr>
        <w:br w:type="page"/>
      </w:r>
    </w:p>
    <w:p w:rsidR="002D3F7D" w:rsidRPr="00CD70EC" w:rsidRDefault="002D3F7D" w:rsidP="002D3F7D">
      <w:pPr>
        <w:pStyle w:val="BodyText"/>
        <w:rPr>
          <w:rFonts w:ascii="Arial Narrow" w:hAnsi="Arial Narrow"/>
          <w:b/>
          <w:sz w:val="30"/>
          <w:szCs w:val="30"/>
        </w:rPr>
      </w:pPr>
      <w:r w:rsidRPr="00CD70EC">
        <w:rPr>
          <w:rFonts w:ascii="Arial Narrow" w:hAnsi="Arial Narrow"/>
          <w:b/>
          <w:sz w:val="30"/>
          <w:szCs w:val="30"/>
        </w:rPr>
        <w:lastRenderedPageBreak/>
        <w:t>Dedicated Capital Transportation Revenues</w:t>
      </w:r>
    </w:p>
    <w:p w:rsidR="002D3F7D" w:rsidRDefault="002D3F7D" w:rsidP="002D3F7D">
      <w:pPr>
        <w:pStyle w:val="Heading5"/>
      </w:pPr>
      <w:r>
        <w:t>Motor Vehicle Fuel Tax – Paths &amp; Trails Revenues</w:t>
      </w:r>
    </w:p>
    <w:p w:rsidR="002D3F7D" w:rsidRDefault="002D3F7D" w:rsidP="002D3F7D">
      <w:pPr>
        <w:pStyle w:val="BodyText"/>
      </w:pPr>
      <w:r>
        <w:t>Beginning in 1997, one percent of the Motor Vehicle Fuel Tax is required by state law to go toward establishing and maintaining paths and trails for pedestrians, equestrians, and bicyclists.  Based on average growth rate since inception, we have forecast revenues at an annual increase of 1.5% over the prior year.</w:t>
      </w:r>
    </w:p>
    <w:p w:rsidR="002D3F7D" w:rsidRDefault="00E12B2B" w:rsidP="002D3F7D">
      <w:pPr>
        <w:pStyle w:val="BodyText"/>
      </w:pPr>
      <w:r>
        <w:t>Figure 16-</w:t>
      </w:r>
      <w:r w:rsidR="002D3F7D">
        <w:t>2 shows 1.0% of the historical MVF Tax revenue to the left of the dotted line, and projected revenues available for paths and trails capital to the right.</w:t>
      </w:r>
    </w:p>
    <w:p w:rsidR="00E12B2B" w:rsidRPr="00E12B2B" w:rsidRDefault="00E12B2B" w:rsidP="002D3F7D">
      <w:pPr>
        <w:pStyle w:val="BodyText"/>
        <w:rPr>
          <w:rFonts w:ascii="Arial Narrow" w:hAnsi="Arial Narrow"/>
          <w:b/>
          <w:sz w:val="24"/>
        </w:rPr>
      </w:pPr>
      <w:r w:rsidRPr="00E12B2B">
        <w:rPr>
          <w:rFonts w:ascii="Arial Narrow" w:hAnsi="Arial Narrow"/>
          <w:b/>
          <w:color w:val="002060"/>
          <w:sz w:val="24"/>
        </w:rPr>
        <w:t>Fi</w:t>
      </w:r>
      <w:r w:rsidR="004D6040">
        <w:rPr>
          <w:rFonts w:ascii="Arial Narrow" w:hAnsi="Arial Narrow"/>
          <w:b/>
          <w:color w:val="002060"/>
          <w:sz w:val="24"/>
        </w:rPr>
        <w:t>gure 16-2.</w:t>
      </w:r>
      <w:r w:rsidR="004D6040">
        <w:rPr>
          <w:rFonts w:ascii="Arial Narrow" w:hAnsi="Arial Narrow"/>
          <w:b/>
          <w:color w:val="002060"/>
          <w:sz w:val="24"/>
        </w:rPr>
        <w:tab/>
        <w:t xml:space="preserve">Whatcom County </w:t>
      </w:r>
      <w:r w:rsidRPr="00E12B2B">
        <w:rPr>
          <w:rFonts w:ascii="Arial Narrow" w:hAnsi="Arial Narrow"/>
          <w:b/>
          <w:color w:val="002060"/>
          <w:sz w:val="24"/>
        </w:rPr>
        <w:t>MVF Tax Revenue 1993-2036 (Allocated for Capital Projects)</w:t>
      </w:r>
    </w:p>
    <w:p w:rsidR="002D3F7D" w:rsidRDefault="002D3F7D" w:rsidP="002D3F7D">
      <w:pPr>
        <w:pStyle w:val="BodyText"/>
      </w:pPr>
      <w:r>
        <w:rPr>
          <w:noProof/>
        </w:rPr>
        <w:drawing>
          <wp:inline distT="0" distB="0" distL="0" distR="0" wp14:anchorId="0906B2F7" wp14:editId="610C6E78">
            <wp:extent cx="5943600" cy="34385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D3F7D" w:rsidRDefault="00E12B2B" w:rsidP="002D3F7D">
      <w:pPr>
        <w:pStyle w:val="BodyText"/>
      </w:pPr>
      <w:r>
        <w:t>Table 16-</w:t>
      </w:r>
      <w:r w:rsidR="002D3F7D">
        <w:t xml:space="preserve"> 2 shows anticipated total Motor Vehicle Fuel Tax revenues available for path and trail capital projects for the next six years and the remaining 14 years of the planning period. </w:t>
      </w:r>
    </w:p>
    <w:p w:rsidR="002D3F7D" w:rsidRPr="00D22873" w:rsidRDefault="00E12B2B" w:rsidP="002D3F7D">
      <w:pPr>
        <w:pStyle w:val="Caption"/>
      </w:pPr>
      <w:bookmarkStart w:id="66" w:name="_Toc245621904"/>
      <w:bookmarkStart w:id="67" w:name="_Ref226451837"/>
      <w:r>
        <w:t>Table 16-</w:t>
      </w:r>
      <w:r w:rsidR="002D3F7D">
        <w:t>2</w:t>
      </w:r>
      <w:r w:rsidR="002D3F7D" w:rsidRPr="00D22873">
        <w:t>.</w:t>
      </w:r>
      <w:r w:rsidR="002D3F7D" w:rsidRPr="00D22873">
        <w:tab/>
        <w:t xml:space="preserve">Projected Future Whatcom County Motor Vehicle Fuel Tax </w:t>
      </w:r>
      <w:r w:rsidR="002D3F7D">
        <w:t xml:space="preserve">– Paths &amp; Trails </w:t>
      </w:r>
      <w:r w:rsidR="002D3F7D" w:rsidRPr="00D22873">
        <w:t>Revenues 201</w:t>
      </w:r>
      <w:r w:rsidR="002D3F7D">
        <w:t>7</w:t>
      </w:r>
      <w:r w:rsidR="002D3F7D" w:rsidRPr="00D22873">
        <w:t>-</w:t>
      </w:r>
      <w:r w:rsidR="002D3F7D">
        <w:t>2036</w:t>
      </w:r>
      <w:r w:rsidR="002D3F7D" w:rsidRPr="00D22873">
        <w:t xml:space="preserve"> </w:t>
      </w:r>
      <w:bookmarkEnd w:id="66"/>
    </w:p>
    <w:p w:rsidR="002D3F7D" w:rsidRDefault="002D3F7D" w:rsidP="002D3F7D">
      <w:pPr>
        <w:pStyle w:val="TableNotes"/>
      </w:pPr>
      <w:r w:rsidRPr="00C546E4">
        <w:rPr>
          <w:noProof/>
        </w:rPr>
        <w:drawing>
          <wp:inline distT="0" distB="0" distL="0" distR="0" wp14:anchorId="24E0E65B" wp14:editId="62F20161">
            <wp:extent cx="6219825" cy="514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9825" cy="514350"/>
                    </a:xfrm>
                    <a:prstGeom prst="rect">
                      <a:avLst/>
                    </a:prstGeom>
                    <a:noFill/>
                    <a:ln>
                      <a:noFill/>
                    </a:ln>
                  </pic:spPr>
                </pic:pic>
              </a:graphicData>
            </a:graphic>
          </wp:inline>
        </w:drawing>
      </w:r>
    </w:p>
    <w:bookmarkEnd w:id="67"/>
    <w:p w:rsidR="002D3F7D" w:rsidRPr="00F375FD" w:rsidRDefault="002D3F7D" w:rsidP="002D3F7D">
      <w:pPr>
        <w:pStyle w:val="Heading4"/>
        <w:rPr>
          <w:color w:val="auto"/>
        </w:rPr>
      </w:pPr>
      <w:r w:rsidRPr="00F375FD">
        <w:rPr>
          <w:color w:val="auto"/>
        </w:rPr>
        <w:lastRenderedPageBreak/>
        <w:t>Grants</w:t>
      </w:r>
    </w:p>
    <w:p w:rsidR="002D3F7D" w:rsidRDefault="002D3F7D" w:rsidP="002D3F7D">
      <w:pPr>
        <w:pStyle w:val="Heading5"/>
      </w:pPr>
      <w:r>
        <w:t>State Transportation Grants</w:t>
      </w:r>
    </w:p>
    <w:p w:rsidR="002D3F7D" w:rsidRDefault="002D3F7D" w:rsidP="002D3F7D">
      <w:pPr>
        <w:pStyle w:val="BodyText"/>
      </w:pPr>
      <w:r>
        <w:t xml:space="preserve">Grants are an important funding source for transportation capital projects; however, these funds are distributed in a competitive process making it difficult to project future grant funding levels. State grants are primarily funded with the state-levied portion of the MVF Tax. </w:t>
      </w:r>
    </w:p>
    <w:p w:rsidR="002D3F7D" w:rsidRDefault="002D3F7D" w:rsidP="002D3F7D">
      <w:pPr>
        <w:pStyle w:val="BodyText"/>
      </w:pPr>
      <w:r>
        <w:t xml:space="preserve">There have, in recent years, been increases in the State MVF Tax rate. However, many of these additional funds were earmarked for specific large projects, although there was some allocation to local jurisdictions. The Transportation Partnership Act of 2005 provided some additional funds to the Transportation Improvement Board and the County Road Administration Board, for a total of $80 million to be disbursed to local jurisdictions as grants over a 16-year period. However, these increases in funds are very small relative to demand, with requests to the Transportation Improvement Board overreaching available funds. For this analysis, recent historical grant revenue trends were considered. </w:t>
      </w:r>
    </w:p>
    <w:p w:rsidR="002D3F7D" w:rsidRDefault="002D3F7D" w:rsidP="002D3F7D">
      <w:pPr>
        <w:pStyle w:val="BodyText"/>
      </w:pPr>
      <w:r>
        <w:rPr>
          <w:rStyle w:val="Emphasis"/>
        </w:rPr>
        <w:t>Assumptions:</w:t>
      </w:r>
      <w:r>
        <w:t xml:space="preserve"> These revenues have been estimated on a per capita basis on the assumption that over time a jurisdiction will generally receive its “fair share” of available grant revenues. Since 1993 Whatcom County has averaged $6.72 per capita in grant revenues per year. However, this number has been lower in recent years averaging $5.60 per capita since 2006.  This analysis assumes $5.60 per capita in the future with no annual increase. Total revenues are therefore expected to change on pace with changes in population.</w:t>
      </w:r>
    </w:p>
    <w:p w:rsidR="002D3F7D" w:rsidRDefault="002D3F7D" w:rsidP="002D3F7D">
      <w:pPr>
        <w:pStyle w:val="BodyText"/>
      </w:pPr>
      <w:r>
        <w:t>For this analysis average annual dollars are assumed in each year. However, in reality these dollars will vary greatly from year to year since they are awarded on a project-specific basis.</w:t>
      </w:r>
    </w:p>
    <w:p w:rsidR="002D3F7D" w:rsidRDefault="00E12B2B" w:rsidP="002D3F7D">
      <w:pPr>
        <w:pStyle w:val="BodyText"/>
      </w:pPr>
      <w:r>
        <w:t>Figure 16-</w:t>
      </w:r>
      <w:r w:rsidR="002D3F7D">
        <w:t xml:space="preserve"> 3 shows historical state grant revenues to the left of the dotted line, and projected revenues to the right.</w:t>
      </w:r>
    </w:p>
    <w:p w:rsidR="002D3F7D" w:rsidRDefault="00E12B2B" w:rsidP="00E12B2B">
      <w:pPr>
        <w:pStyle w:val="Caption"/>
        <w:ind w:left="1440" w:hanging="1440"/>
      </w:pPr>
      <w:bookmarkStart w:id="68" w:name="_Toc245373354"/>
      <w:bookmarkStart w:id="69" w:name="_Toc245525303"/>
      <w:r>
        <w:lastRenderedPageBreak/>
        <w:t>Figure 16-</w:t>
      </w:r>
      <w:r w:rsidR="002D3F7D">
        <w:t>3.</w:t>
      </w:r>
      <w:r w:rsidR="002D3F7D">
        <w:tab/>
        <w:t>Whatcom County State Transportation Grant Revenues 1993-2036 (Allocated for Capital Projects)</w:t>
      </w:r>
      <w:bookmarkEnd w:id="68"/>
      <w:bookmarkEnd w:id="69"/>
    </w:p>
    <w:p w:rsidR="002D3F7D" w:rsidRDefault="002D3F7D" w:rsidP="002D3F7D">
      <w:pPr>
        <w:pStyle w:val="BodyText"/>
      </w:pPr>
      <w:r>
        <w:rPr>
          <w:noProof/>
        </w:rPr>
        <w:drawing>
          <wp:inline distT="0" distB="0" distL="0" distR="0" wp14:anchorId="489AE12C" wp14:editId="78BD20E2">
            <wp:extent cx="5943600" cy="404558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D3F7D" w:rsidRDefault="00E12B2B" w:rsidP="002D3F7D">
      <w:pPr>
        <w:pStyle w:val="BodyText"/>
      </w:pPr>
      <w:r>
        <w:t>Table 16-</w:t>
      </w:r>
      <w:r w:rsidR="002D3F7D">
        <w:t xml:space="preserve"> 3 shows estimated total state grant revenues for the next six years and the remaining 14 years of the planning period.</w:t>
      </w:r>
    </w:p>
    <w:p w:rsidR="002D3F7D" w:rsidRDefault="00E12B2B" w:rsidP="002D3F7D">
      <w:pPr>
        <w:pStyle w:val="Caption"/>
      </w:pPr>
      <w:bookmarkStart w:id="70" w:name="_Toc245621905"/>
      <w:r>
        <w:t>Table 16-</w:t>
      </w:r>
      <w:r w:rsidR="002D3F7D">
        <w:t>3.</w:t>
      </w:r>
      <w:r w:rsidR="002D3F7D">
        <w:tab/>
        <w:t>Projected Future Whatcom County State Transportation Grant Revenues 2017-2036 (Allocated for Capital Projects)</w:t>
      </w:r>
      <w:bookmarkEnd w:id="70"/>
    </w:p>
    <w:p w:rsidR="002D3F7D" w:rsidRDefault="002D3F7D" w:rsidP="002D3F7D">
      <w:pPr>
        <w:pStyle w:val="TableNotesLast"/>
      </w:pPr>
      <w:r w:rsidRPr="00A42BED">
        <w:rPr>
          <w:noProof/>
        </w:rPr>
        <w:drawing>
          <wp:inline distT="0" distB="0" distL="0" distR="0" wp14:anchorId="5F00A5BF" wp14:editId="36E36E1F">
            <wp:extent cx="6172200" cy="523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523875"/>
                    </a:xfrm>
                    <a:prstGeom prst="rect">
                      <a:avLst/>
                    </a:prstGeom>
                    <a:noFill/>
                    <a:ln>
                      <a:noFill/>
                    </a:ln>
                  </pic:spPr>
                </pic:pic>
              </a:graphicData>
            </a:graphic>
          </wp:inline>
        </w:drawing>
      </w:r>
    </w:p>
    <w:p w:rsidR="002D3F7D" w:rsidRDefault="002D3F7D" w:rsidP="002D3F7D">
      <w:pPr>
        <w:pStyle w:val="Heading5"/>
      </w:pPr>
      <w:r>
        <w:t>Federal Transportation Grants</w:t>
      </w:r>
    </w:p>
    <w:p w:rsidR="002D3F7D" w:rsidRDefault="002D3F7D" w:rsidP="002D3F7D">
      <w:pPr>
        <w:pStyle w:val="BodyText"/>
      </w:pPr>
      <w:r>
        <w:t>Federal transportation grants are funded through the federal portion of the fuel excise tax. The federal gas tax rate has fluctuated between $0.183 and $0.184 per gallon since 1993.  The majority of these funds are deposited into the Highway Trust Fund and disbursed to the states through the Highway and Mass Transit Accounts.</w:t>
      </w:r>
    </w:p>
    <w:p w:rsidR="002D3F7D" w:rsidRDefault="002D3F7D" w:rsidP="002D3F7D">
      <w:pPr>
        <w:pStyle w:val="BodyText"/>
      </w:pPr>
      <w:r>
        <w:t xml:space="preserve">As with state grants, these funds are distributed in a competitive process making it difficult to determine future grant funding levels. </w:t>
      </w:r>
    </w:p>
    <w:p w:rsidR="002D3F7D" w:rsidRDefault="002D3F7D" w:rsidP="002D3F7D">
      <w:pPr>
        <w:pStyle w:val="BodyText"/>
      </w:pPr>
      <w:r>
        <w:rPr>
          <w:rStyle w:val="Emphasis"/>
        </w:rPr>
        <w:t>Assumptions:</w:t>
      </w:r>
      <w:r>
        <w:t xml:space="preserve"> Since 1993 Whatcom County has received an annual average of $26.07 per capita of federal grant funding. Lacking an increase in the federal gas tax rate, future average annual per </w:t>
      </w:r>
      <w:r>
        <w:lastRenderedPageBreak/>
        <w:t>capita federal grant dollars are estimated to remain at that rate with no annual increase. As with state grant dollars, changes in total revenues are expected to occur at the rate of change in the population. In addition, average annual dollars are assumed in each year while in reality these dollars will vary greatly from year to year since they are awarded on a project-specific basis.</w:t>
      </w:r>
    </w:p>
    <w:p w:rsidR="002D3F7D" w:rsidRDefault="00E12B2B" w:rsidP="002D3F7D">
      <w:pPr>
        <w:pStyle w:val="BodyText"/>
      </w:pPr>
      <w:r>
        <w:t>Figure 16-</w:t>
      </w:r>
      <w:r w:rsidR="002D3F7D">
        <w:t xml:space="preserve"> 4 shows historical federal grant revenues to the left of the dotted line, and projected revenues to the right.</w:t>
      </w:r>
    </w:p>
    <w:p w:rsidR="002D3F7D" w:rsidRDefault="00E12B2B" w:rsidP="002D3F7D">
      <w:pPr>
        <w:pStyle w:val="Caption"/>
      </w:pPr>
      <w:bookmarkStart w:id="71" w:name="_Toc245525304"/>
      <w:r>
        <w:t>Figure 16-</w:t>
      </w:r>
      <w:r w:rsidR="002D3F7D">
        <w:t>4.</w:t>
      </w:r>
      <w:r w:rsidR="002D3F7D">
        <w:tab/>
        <w:t>Whatcom County Federal Transportation Grant Revenues 1993-2036 (Allocated for Capital Projects)</w:t>
      </w:r>
      <w:bookmarkEnd w:id="71"/>
    </w:p>
    <w:p w:rsidR="002D3F7D" w:rsidRDefault="002D3F7D" w:rsidP="002D3F7D">
      <w:pPr>
        <w:rPr>
          <w:noProof/>
        </w:rPr>
      </w:pPr>
      <w:r>
        <w:rPr>
          <w:noProof/>
        </w:rPr>
        <w:drawing>
          <wp:inline distT="0" distB="0" distL="0" distR="0" wp14:anchorId="70DF2BB7" wp14:editId="3C9CFEF2">
            <wp:extent cx="5943600" cy="294322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D3F7D" w:rsidRDefault="00E12B2B" w:rsidP="002D3F7D">
      <w:r>
        <w:t>Table 16-</w:t>
      </w:r>
      <w:r w:rsidR="002D3F7D">
        <w:t xml:space="preserve"> 4 shows anticipated total federal grant revenues for the next six years and the remaining 14 years of the planning period.</w:t>
      </w:r>
    </w:p>
    <w:p w:rsidR="002D3F7D" w:rsidRDefault="00E12B2B" w:rsidP="002D3F7D">
      <w:pPr>
        <w:pStyle w:val="Caption"/>
      </w:pPr>
      <w:bookmarkStart w:id="72" w:name="_Toc245621906"/>
      <w:r>
        <w:t>Table 16-</w:t>
      </w:r>
      <w:r w:rsidR="002D3F7D">
        <w:t>4.</w:t>
      </w:r>
      <w:r w:rsidR="002D3F7D">
        <w:tab/>
        <w:t>Projected Future Whatcom County Federal Transportation Grant Revenues 2017-2036 (Allocated for Capital Projects)</w:t>
      </w:r>
      <w:bookmarkEnd w:id="72"/>
    </w:p>
    <w:p w:rsidR="002D3F7D" w:rsidRDefault="002D3F7D" w:rsidP="002D3F7D">
      <w:pPr>
        <w:pStyle w:val="TableNotesLast"/>
      </w:pPr>
      <w:r w:rsidRPr="001B4C57">
        <w:rPr>
          <w:noProof/>
        </w:rPr>
        <w:drawing>
          <wp:inline distT="0" distB="0" distL="0" distR="0" wp14:anchorId="21FEB34B" wp14:editId="433104FC">
            <wp:extent cx="6172200" cy="542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542925"/>
                    </a:xfrm>
                    <a:prstGeom prst="rect">
                      <a:avLst/>
                    </a:prstGeom>
                    <a:noFill/>
                    <a:ln>
                      <a:noFill/>
                    </a:ln>
                  </pic:spPr>
                </pic:pic>
              </a:graphicData>
            </a:graphic>
          </wp:inline>
        </w:drawing>
      </w:r>
    </w:p>
    <w:p w:rsidR="002D3F7D" w:rsidRDefault="00E12B2B" w:rsidP="002D3F7D">
      <w:pPr>
        <w:pStyle w:val="BodyText"/>
      </w:pPr>
      <w:r>
        <w:t>Table 16-</w:t>
      </w:r>
      <w:r w:rsidR="002D3F7D">
        <w:t>5 shows total projected transportation revenues for Whatcom County.</w:t>
      </w:r>
    </w:p>
    <w:p w:rsidR="002D3F7D" w:rsidRPr="00D22873" w:rsidRDefault="00E12B2B" w:rsidP="002D3F7D">
      <w:pPr>
        <w:pStyle w:val="Caption"/>
      </w:pPr>
      <w:bookmarkStart w:id="73" w:name="_Toc245621907"/>
      <w:r>
        <w:t>Table 16-</w:t>
      </w:r>
      <w:r w:rsidR="002D3F7D">
        <w:t>5</w:t>
      </w:r>
      <w:r w:rsidR="002D3F7D" w:rsidRPr="00D22873">
        <w:t>.</w:t>
      </w:r>
      <w:r w:rsidR="002D3F7D" w:rsidRPr="00D22873">
        <w:tab/>
        <w:t>Projected Total Transportation Revenues 201</w:t>
      </w:r>
      <w:r w:rsidR="002D3F7D">
        <w:t>7</w:t>
      </w:r>
      <w:r w:rsidR="002D3F7D" w:rsidRPr="00D22873">
        <w:t>-</w:t>
      </w:r>
      <w:r w:rsidR="002D3F7D">
        <w:t>2036</w:t>
      </w:r>
      <w:r w:rsidR="002D3F7D" w:rsidRPr="00D22873">
        <w:t xml:space="preserve"> (Allocated for Capital Projects)</w:t>
      </w:r>
      <w:bookmarkEnd w:id="73"/>
    </w:p>
    <w:p w:rsidR="002D3F7D" w:rsidRDefault="002D3F7D" w:rsidP="002D3F7D">
      <w:pPr>
        <w:pStyle w:val="TableNotesLast"/>
      </w:pPr>
      <w:r w:rsidRPr="001B4C57">
        <w:rPr>
          <w:noProof/>
        </w:rPr>
        <w:drawing>
          <wp:inline distT="0" distB="0" distL="0" distR="0" wp14:anchorId="2B9DCE8B" wp14:editId="6009763F">
            <wp:extent cx="6172200" cy="533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2D3F7D" w:rsidRDefault="002D3F7D" w:rsidP="002D3F7D">
      <w:pPr>
        <w:pStyle w:val="Heading3"/>
      </w:pPr>
      <w:bookmarkStart w:id="74" w:name="_Toc245621822"/>
      <w:r>
        <w:lastRenderedPageBreak/>
        <w:t>Other Capital Revenues</w:t>
      </w:r>
      <w:bookmarkEnd w:id="74"/>
    </w:p>
    <w:p w:rsidR="002D3F7D" w:rsidRDefault="002D3F7D" w:rsidP="002D3F7D">
      <w:pPr>
        <w:pStyle w:val="Heading4"/>
      </w:pPr>
      <w:r>
        <w:t>Real Estate Excise Tax</w:t>
      </w:r>
    </w:p>
    <w:p w:rsidR="002D3F7D" w:rsidRDefault="002D3F7D" w:rsidP="002D3F7D">
      <w:pPr>
        <w:pStyle w:val="BodyText"/>
      </w:pPr>
      <w:r>
        <w:t xml:space="preserve">Real Estate Excise Tax (REET) revenues are levied in two portions and must be expended on capital projects. Since the REET is based on the total value of real estate transactions in a given year, the amount of REET revenues a county receives can vary substantially from year to year based on the normal fluctuations in the real estate market. During years when the real estate market is active, revenues are high, and during softer real estate markets revenues are lower. </w:t>
      </w:r>
    </w:p>
    <w:p w:rsidR="002D3F7D" w:rsidRDefault="002D3F7D" w:rsidP="002D3F7D">
      <w:pPr>
        <w:pStyle w:val="BodyText"/>
      </w:pPr>
      <w:r>
        <w:t>REET is levied in two parts, REET I (the first 0.25%), and REET II (the second 0.25%), for a total tax of 0.5% of total assessed value. REET I and REET II revenues must be spent on capital projects that are listed in a county’s current capital facilities plan. The definition of capital facilities, according to RCW 82.46.010, for REET I funding is:</w:t>
      </w:r>
    </w:p>
    <w:p w:rsidR="002D3F7D" w:rsidRDefault="002D3F7D" w:rsidP="002D3F7D">
      <w:pPr>
        <w:ind w:left="360" w:right="360"/>
        <w:rPr>
          <w:i/>
        </w:rPr>
      </w:pPr>
      <w:r>
        <w:rPr>
          <w:i/>
        </w:rPr>
        <w:t>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parks; recreational facilities; law enforcement facilities; fire protection facilities; trails; libraries; administrative and judicial facilities...</w:t>
      </w:r>
    </w:p>
    <w:p w:rsidR="002D3F7D" w:rsidRDefault="002D3F7D" w:rsidP="002D3F7D">
      <w:pPr>
        <w:pStyle w:val="BodyText"/>
      </w:pPr>
      <w:r>
        <w:t>REET II generally follows the above guidelines, but is more restricted, as it may not be spent on recreational facilities, law enforcement facilities, fire protection facilities</w:t>
      </w:r>
      <w:r w:rsidRPr="001A0C78">
        <w:t>, trails</w:t>
      </w:r>
      <w:r>
        <w:t xml:space="preserve"> not associated with parks, libraries, administrative facilities, or judicial facilities (RCW 82.46.035). </w:t>
      </w:r>
    </w:p>
    <w:p w:rsidR="002D3F7D" w:rsidRDefault="002D3F7D" w:rsidP="002D3F7D">
      <w:pPr>
        <w:pStyle w:val="BodyText"/>
      </w:pPr>
      <w:r w:rsidRPr="001A0C78">
        <w:rPr>
          <w:rStyle w:val="Emphasis"/>
        </w:rPr>
        <w:t>Assumptions:</w:t>
      </w:r>
      <w:r w:rsidRPr="001A0C78">
        <w:t xml:space="preserve"> </w:t>
      </w:r>
      <w:r>
        <w:t>T</w:t>
      </w:r>
      <w:r w:rsidRPr="001A0C78">
        <w:t xml:space="preserve">his analysis assumes </w:t>
      </w:r>
      <w:r>
        <w:t xml:space="preserve">an </w:t>
      </w:r>
      <w:r w:rsidRPr="001A0C78">
        <w:t xml:space="preserve">average annual rate of turn-over of existing property at </w:t>
      </w:r>
      <w:r>
        <w:t>6</w:t>
      </w:r>
      <w:r w:rsidRPr="001A0C78">
        <w:t>% in 201</w:t>
      </w:r>
      <w:r>
        <w:t>6</w:t>
      </w:r>
      <w:r w:rsidRPr="001A0C78">
        <w:t>. This rate increases at 0.5% per year until the normal turnover rate of 7.0% is reached in 201</w:t>
      </w:r>
      <w:r>
        <w:t>8</w:t>
      </w:r>
      <w:r w:rsidRPr="001A0C78">
        <w:t xml:space="preserve">. </w:t>
      </w:r>
      <w:r w:rsidRPr="00D806A5">
        <w:t xml:space="preserve"> </w:t>
      </w:r>
      <w:r>
        <w:t>Normal turnover rate is based upon the average actual rate of turnover from the period of 1993 – 2015.</w:t>
      </w:r>
    </w:p>
    <w:p w:rsidR="002D3F7D" w:rsidRDefault="002D3F7D" w:rsidP="002D3F7D">
      <w:pPr>
        <w:pStyle w:val="BodyText"/>
      </w:pPr>
      <w:r>
        <w:t>REET revenues generally must be used for capital projects; however, modifications to RCW 82.46.010 and 82.46.035 allow counties to transfer up to $1 million per year for operations and maintenance of existing capital projects through 2016.  Whatcom County has opted to transfer $1 million per year to the Parks Department under this provision.  For purposes of this study, the $1 million in 2016 is assumed to be withdrawn from the REET II fund balance and will not affect revenue projections.  This analysis assumes all REET revenues are available for the capital projects discussed in this plan.</w:t>
      </w:r>
    </w:p>
    <w:p w:rsidR="002D3F7D" w:rsidRDefault="00E12B2B" w:rsidP="002D3F7D">
      <w:pPr>
        <w:pStyle w:val="BodyText"/>
      </w:pPr>
      <w:r>
        <w:t>Figure 16-</w:t>
      </w:r>
      <w:r w:rsidR="002D3F7D">
        <w:t xml:space="preserve"> 5 shows historical Real Estate Excise Tax revenue to the left of the dotted line, and projected revenues to the right. </w:t>
      </w:r>
    </w:p>
    <w:p w:rsidR="002D3F7D" w:rsidRDefault="00E12B2B" w:rsidP="002D3F7D">
      <w:pPr>
        <w:pStyle w:val="Caption"/>
      </w:pPr>
      <w:bookmarkStart w:id="75" w:name="_Toc245373355"/>
      <w:bookmarkStart w:id="76" w:name="_Toc245525305"/>
      <w:r>
        <w:lastRenderedPageBreak/>
        <w:t>Figure 16-</w:t>
      </w:r>
      <w:r w:rsidR="002D3F7D">
        <w:t>5.</w:t>
      </w:r>
      <w:r w:rsidR="002D3F7D">
        <w:tab/>
        <w:t>Whatcom County Real Estate Excise Tax Revenues 1993-2036</w:t>
      </w:r>
      <w:bookmarkEnd w:id="75"/>
      <w:bookmarkEnd w:id="76"/>
    </w:p>
    <w:p w:rsidR="002D3F7D" w:rsidRDefault="002D3F7D" w:rsidP="002D3F7D">
      <w:pPr>
        <w:pStyle w:val="BodyText"/>
      </w:pPr>
      <w:r>
        <w:rPr>
          <w:noProof/>
        </w:rPr>
        <w:drawing>
          <wp:inline distT="0" distB="0" distL="0" distR="0" wp14:anchorId="5FDF8638" wp14:editId="1D2CF6FA">
            <wp:extent cx="5943600" cy="404558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D3F7D" w:rsidRDefault="00E12B2B" w:rsidP="002D3F7D">
      <w:pPr>
        <w:pStyle w:val="BodyText"/>
      </w:pPr>
      <w:r>
        <w:t>Table 16-</w:t>
      </w:r>
      <w:r w:rsidR="002D3F7D">
        <w:t xml:space="preserve">6 shows anticipated total Real Estate Excise Tax revenues for the next six years and the remaining 14 years of the planning period. </w:t>
      </w:r>
    </w:p>
    <w:p w:rsidR="002D3F7D" w:rsidRDefault="00E12B2B" w:rsidP="002D3F7D">
      <w:pPr>
        <w:pStyle w:val="Caption"/>
      </w:pPr>
      <w:bookmarkStart w:id="77" w:name="_Toc245621908"/>
      <w:r>
        <w:t>Table 16-</w:t>
      </w:r>
      <w:r w:rsidR="002D3F7D">
        <w:t>6.</w:t>
      </w:r>
      <w:r w:rsidR="002D3F7D">
        <w:tab/>
        <w:t>Projected Future Whatcom County Real Estate Excise Tax Revenues 2017-</w:t>
      </w:r>
      <w:bookmarkEnd w:id="77"/>
      <w:r w:rsidR="002D3F7D">
        <w:t>2036</w:t>
      </w:r>
    </w:p>
    <w:p w:rsidR="002D3F7D" w:rsidRDefault="002D3F7D" w:rsidP="002D3F7D">
      <w:pPr>
        <w:pStyle w:val="TableNotes"/>
      </w:pPr>
      <w:r w:rsidRPr="002539FA">
        <w:rPr>
          <w:noProof/>
        </w:rPr>
        <w:drawing>
          <wp:inline distT="0" distB="0" distL="0" distR="0" wp14:anchorId="0DDCC30C" wp14:editId="69335F13">
            <wp:extent cx="6115050" cy="5429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5050" cy="542925"/>
                    </a:xfrm>
                    <a:prstGeom prst="rect">
                      <a:avLst/>
                    </a:prstGeom>
                    <a:noFill/>
                    <a:ln>
                      <a:noFill/>
                    </a:ln>
                  </pic:spPr>
                </pic:pic>
              </a:graphicData>
            </a:graphic>
          </wp:inline>
        </w:drawing>
      </w:r>
    </w:p>
    <w:p w:rsidR="002D3F7D" w:rsidRDefault="002D3F7D" w:rsidP="002D3F7D">
      <w:pPr>
        <w:pStyle w:val="Heading4"/>
      </w:pPr>
      <w:r>
        <w:t>Rural Counties Public Facilities Tax (Rural Sales Tax)</w:t>
      </w:r>
    </w:p>
    <w:p w:rsidR="002D3F7D" w:rsidRDefault="002D3F7D" w:rsidP="002D3F7D">
      <w:pPr>
        <w:pStyle w:val="BodyText"/>
      </w:pPr>
      <w:r>
        <w:t xml:space="preserve">Washington State allows rural counties to impose a local sales tax to fund capital projects that have an economic development purpose and finance personnel positions in economic development offices. This tax, which is deposited in the County’s Public Utilities Improvement Fund, is not an additional sales tax for residents, but rather is given to the jurisdiction in the form of a tax credit against the 6.5% state sales tax. Whatcom County began collecting the tax during 1999. It is currently levied at 0.09% in Whatcom County and is collected countywide. The law (RCW 82.14.370) states “For counties imposing the tax at the rate of .09 percent before August 1, 2009, the tax expires on the date that is twenty-five years after the date that the .09 percent tax rate was first imposed by that county.” Whatcom County’s expiration date is August 1, 2032.  </w:t>
      </w:r>
    </w:p>
    <w:p w:rsidR="002D3F7D" w:rsidRDefault="002D3F7D" w:rsidP="002D3F7D">
      <w:pPr>
        <w:pStyle w:val="BodyText"/>
      </w:pPr>
      <w:r>
        <w:rPr>
          <w:rStyle w:val="Emphasis"/>
        </w:rPr>
        <w:lastRenderedPageBreak/>
        <w:t>Assumptions:</w:t>
      </w:r>
      <w:r>
        <w:rPr>
          <w:b/>
        </w:rPr>
        <w:t xml:space="preserve"> </w:t>
      </w:r>
      <w:r>
        <w:t>Because this tax is collected on retail sales we have based future projections on an assumed increase of 3.3% annual growth in taxable retail sales within the County. This rate is the taxable sales growth rate for Whatcom County for the period of 1994-2015</w:t>
      </w:r>
      <w:r>
        <w:rPr>
          <w:rStyle w:val="FootnoteReference"/>
        </w:rPr>
        <w:footnoteReference w:id="3"/>
      </w:r>
      <w:r>
        <w:t>.  Revenues are assumed to be collected until August 1, 2032.  Executive recommendations adopted by Council designate 30% of the proceeds of the tax revenue be used for County capital facilities.  The remaining 70% is designated for economic development loans and grants to other government entities throughout the county (Economic Development Initiative – EDI).</w:t>
      </w:r>
    </w:p>
    <w:p w:rsidR="002D3F7D" w:rsidRDefault="00E12B2B" w:rsidP="002D3F7D">
      <w:pPr>
        <w:pStyle w:val="BodyText"/>
      </w:pPr>
      <w:r>
        <w:t>Figure 16-</w:t>
      </w:r>
      <w:r w:rsidR="002D3F7D">
        <w:t>6 shows historical Rural Counties Public Facilities Tax revenue for County capital facilities to the left of the dotted line, and projected revenues to the right.</w:t>
      </w:r>
    </w:p>
    <w:p w:rsidR="002D3F7D" w:rsidRDefault="00E12B2B" w:rsidP="00E12B2B">
      <w:pPr>
        <w:pStyle w:val="Caption"/>
        <w:ind w:left="1440" w:hanging="1440"/>
      </w:pPr>
      <w:bookmarkStart w:id="78" w:name="_Toc245525306"/>
      <w:r>
        <w:t>Figure 16-</w:t>
      </w:r>
      <w:r w:rsidR="002D3F7D">
        <w:t>6.</w:t>
      </w:r>
      <w:r w:rsidR="002D3F7D">
        <w:tab/>
        <w:t>Whatcom County Rural Counties Public Facilities Tax Revenues 2000-2032 (Available for County Capital Facilities)</w:t>
      </w:r>
      <w:bookmarkEnd w:id="78"/>
    </w:p>
    <w:p w:rsidR="002D3F7D" w:rsidRDefault="002D3F7D" w:rsidP="002D3F7D">
      <w:r>
        <w:rPr>
          <w:noProof/>
        </w:rPr>
        <w:drawing>
          <wp:inline distT="0" distB="0" distL="0" distR="0" wp14:anchorId="6CF7679D" wp14:editId="6A4EF635">
            <wp:extent cx="5943600" cy="4045585"/>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D3F7D" w:rsidRPr="00AE2D76" w:rsidRDefault="00E12B2B" w:rsidP="002D3F7D">
      <w:r>
        <w:t>Table 16-</w:t>
      </w:r>
      <w:r w:rsidR="002D3F7D" w:rsidRPr="003F4636">
        <w:t xml:space="preserve">7 shows anticipated total Rural Counties Public Facilities Tax revenues </w:t>
      </w:r>
      <w:r w:rsidR="002D3F7D" w:rsidRPr="00AE2D76">
        <w:t xml:space="preserve">for </w:t>
      </w:r>
      <w:r w:rsidR="002D3F7D">
        <w:t xml:space="preserve">County capital facilities for </w:t>
      </w:r>
      <w:r w:rsidR="002D3F7D" w:rsidRPr="00AE2D76">
        <w:t xml:space="preserve">the next six years and the remaining 14 years of the planning period. </w:t>
      </w:r>
    </w:p>
    <w:p w:rsidR="002D3F7D" w:rsidRDefault="00E12B2B" w:rsidP="002D3F7D">
      <w:pPr>
        <w:pStyle w:val="Caption"/>
      </w:pPr>
      <w:bookmarkStart w:id="79" w:name="_Toc245621909"/>
      <w:r>
        <w:lastRenderedPageBreak/>
        <w:t>Table 16-</w:t>
      </w:r>
      <w:r w:rsidR="002D3F7D">
        <w:t>7.</w:t>
      </w:r>
      <w:r w:rsidR="002D3F7D">
        <w:tab/>
        <w:t>Projected Future Whatcom County Rural Counties Public Facilities Tax Revenues 2017-2036 (Available for County Capital Facilities)</w:t>
      </w:r>
      <w:bookmarkEnd w:id="79"/>
    </w:p>
    <w:p w:rsidR="002D3F7D" w:rsidRDefault="002D3F7D" w:rsidP="002D3F7D">
      <w:pPr>
        <w:pStyle w:val="TableNotes"/>
      </w:pPr>
      <w:r w:rsidRPr="004A42FE">
        <w:rPr>
          <w:noProof/>
        </w:rPr>
        <w:drawing>
          <wp:inline distT="0" distB="0" distL="0" distR="0" wp14:anchorId="61F8DD84" wp14:editId="23570864">
            <wp:extent cx="6172200" cy="571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2200" cy="571500"/>
                    </a:xfrm>
                    <a:prstGeom prst="rect">
                      <a:avLst/>
                    </a:prstGeom>
                    <a:noFill/>
                    <a:ln>
                      <a:noFill/>
                    </a:ln>
                  </pic:spPr>
                </pic:pic>
              </a:graphicData>
            </a:graphic>
          </wp:inline>
        </w:drawing>
      </w:r>
    </w:p>
    <w:p w:rsidR="002D3F7D" w:rsidRDefault="002D3F7D" w:rsidP="002D3F7D">
      <w:pPr>
        <w:pStyle w:val="Heading4"/>
      </w:pPr>
      <w:r>
        <w:t>Conservation Futures Revenues for Parks</w:t>
      </w:r>
    </w:p>
    <w:p w:rsidR="002D3F7D" w:rsidRDefault="002D3F7D" w:rsidP="002D3F7D">
      <w:pPr>
        <w:pStyle w:val="BodyText"/>
      </w:pPr>
      <w:r>
        <w:t xml:space="preserve">In accordance with RCW 84.34.230, the County can impose a countywide property tax levy of $.0625 per thousand dollars assessed valuation for the purpose of purchasing open space and future development rights. The current levy rate is $.041756 per thousand. </w:t>
      </w:r>
    </w:p>
    <w:p w:rsidR="002D3F7D" w:rsidRDefault="002D3F7D" w:rsidP="002D3F7D">
      <w:pPr>
        <w:pStyle w:val="BodyText"/>
      </w:pPr>
      <w:r>
        <w:rPr>
          <w:rStyle w:val="Emphasis"/>
        </w:rPr>
        <w:t xml:space="preserve">Assumptions: </w:t>
      </w:r>
      <w:r>
        <w:t>For planning purposes, the amount of the levy to be set aside for park and trail acquisitions is 5% of the current year levy after consideration is made for the purchase of a Lummi Island Heritage Trust conservation and access easement for $400,000. Future property tax levy increases have been projected at the historical 1997 – 2015</w:t>
      </w:r>
      <w:r>
        <w:rPr>
          <w:rStyle w:val="FootnoteReference"/>
        </w:rPr>
        <w:footnoteReference w:id="4"/>
      </w:r>
      <w:r>
        <w:t xml:space="preserve"> growth rate of 2.9% per annum.</w:t>
      </w:r>
    </w:p>
    <w:p w:rsidR="002D3F7D" w:rsidRDefault="00E12B2B" w:rsidP="002D3F7D">
      <w:pPr>
        <w:pStyle w:val="BodyText"/>
      </w:pPr>
      <w:r>
        <w:t>Figure 16-</w:t>
      </w:r>
      <w:r w:rsidR="002D3F7D">
        <w:t>7 shows actual usage of Conservation Futures funding for park acquisitions to the left of the dotted line, and projected usage of future revenues to the right.</w:t>
      </w:r>
    </w:p>
    <w:p w:rsidR="002D3F7D" w:rsidRDefault="00E12B2B" w:rsidP="00E12B2B">
      <w:pPr>
        <w:pStyle w:val="Caption"/>
        <w:ind w:left="1440" w:hanging="1440"/>
      </w:pPr>
      <w:r>
        <w:t>Figure 16-</w:t>
      </w:r>
      <w:r w:rsidR="002D3F7D">
        <w:t>7.</w:t>
      </w:r>
      <w:r w:rsidR="002D3F7D">
        <w:tab/>
        <w:t>Conservation Futures Revenues 1993 – 2036 (Available for Parks Capital Acquisitions)</w:t>
      </w:r>
    </w:p>
    <w:p w:rsidR="002D3F7D" w:rsidRDefault="002D3F7D" w:rsidP="002D3F7D">
      <w:pPr>
        <w:pStyle w:val="BodyText"/>
      </w:pPr>
      <w:r>
        <w:rPr>
          <w:noProof/>
        </w:rPr>
        <w:drawing>
          <wp:inline distT="0" distB="0" distL="0" distR="0" wp14:anchorId="38FFB220" wp14:editId="446151C9">
            <wp:extent cx="5943600" cy="32766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D3F7D" w:rsidRPr="00C34645" w:rsidRDefault="00E12B2B" w:rsidP="002D3F7D">
      <w:pPr>
        <w:pStyle w:val="BodyText"/>
      </w:pPr>
      <w:r>
        <w:t>Table 16-</w:t>
      </w:r>
      <w:r w:rsidR="002D3F7D">
        <w:t>8</w:t>
      </w:r>
      <w:r w:rsidR="002D3F7D" w:rsidRPr="003F4636">
        <w:t xml:space="preserve"> shows anticipated </w:t>
      </w:r>
      <w:r w:rsidR="002D3F7D">
        <w:t xml:space="preserve">Conservation Futures funding for Parks capital projects for the next six years </w:t>
      </w:r>
      <w:r w:rsidR="002D3F7D" w:rsidRPr="00AE2D76">
        <w:t>and the remaining 14 years of the planning period</w:t>
      </w:r>
      <w:r w:rsidR="002D3F7D">
        <w:t>.</w:t>
      </w:r>
    </w:p>
    <w:p w:rsidR="002D3F7D" w:rsidRDefault="00E12B2B" w:rsidP="002D3F7D">
      <w:pPr>
        <w:pStyle w:val="Caption"/>
      </w:pPr>
      <w:r>
        <w:lastRenderedPageBreak/>
        <w:t>Table 16-</w:t>
      </w:r>
      <w:r w:rsidR="002D3F7D">
        <w:t>8.</w:t>
      </w:r>
      <w:r w:rsidR="002D3F7D">
        <w:tab/>
        <w:t>Projected Future Conservation Futures Revenues 2017 – 2036 (Available for Parks Capital Projects)</w:t>
      </w:r>
    </w:p>
    <w:p w:rsidR="002D3F7D" w:rsidRPr="00304061" w:rsidRDefault="002D3F7D" w:rsidP="002D3F7D">
      <w:r w:rsidRPr="00304061">
        <w:rPr>
          <w:noProof/>
        </w:rPr>
        <w:drawing>
          <wp:inline distT="0" distB="0" distL="0" distR="0" wp14:anchorId="3A99244A" wp14:editId="20120446">
            <wp:extent cx="6076950" cy="571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6950" cy="571500"/>
                    </a:xfrm>
                    <a:prstGeom prst="rect">
                      <a:avLst/>
                    </a:prstGeom>
                    <a:noFill/>
                    <a:ln>
                      <a:noFill/>
                    </a:ln>
                  </pic:spPr>
                </pic:pic>
              </a:graphicData>
            </a:graphic>
          </wp:inline>
        </w:drawing>
      </w:r>
    </w:p>
    <w:p w:rsidR="002D3F7D" w:rsidRDefault="002D3F7D" w:rsidP="002D3F7D">
      <w:pPr>
        <w:pStyle w:val="Heading4"/>
      </w:pPr>
      <w:r>
        <w:t xml:space="preserve">Parks State Grants   </w:t>
      </w:r>
    </w:p>
    <w:p w:rsidR="002D3F7D" w:rsidRDefault="002D3F7D" w:rsidP="002D3F7D">
      <w:pPr>
        <w:pStyle w:val="BodyText"/>
      </w:pPr>
      <w:r>
        <w:t xml:space="preserve">Parks grants are applied for through the Washington State Recreation and Conservation Office.  These funds have traditionally been quite limited and are distributed in a competitive process making it difficult to determine future grant funding levels.  For this analysis, historical grant revenue trends were considered. </w:t>
      </w:r>
    </w:p>
    <w:p w:rsidR="002D3F7D" w:rsidRDefault="002D3F7D" w:rsidP="002D3F7D">
      <w:pPr>
        <w:pStyle w:val="BodyText"/>
      </w:pPr>
      <w:r>
        <w:rPr>
          <w:rStyle w:val="Emphasis"/>
        </w:rPr>
        <w:t>Assumptions:</w:t>
      </w:r>
      <w:r>
        <w:t xml:space="preserve"> These revenues have been estimated on a countywide per capita basis on the assumption that over time the County will generally receive its “fair share” of available state grant revenues. Since 1993 Whatcom County has averaged $.16 per capita in grant revenues per year.  This analysis assumes that funding level will continue in the future with no annual increase. Total revenues are therefore expected to change on pace with changes in population.</w:t>
      </w:r>
    </w:p>
    <w:p w:rsidR="002D3F7D" w:rsidRDefault="002D3F7D" w:rsidP="002D3F7D">
      <w:pPr>
        <w:pStyle w:val="BodyText"/>
      </w:pPr>
      <w:r>
        <w:t>For this analysis average annual dollars are assumed in each year. However, in reality these dollars will vary greatly from year to year since they are awarded on a project-specific basis.</w:t>
      </w:r>
    </w:p>
    <w:p w:rsidR="002D3F7D" w:rsidRDefault="00E12B2B" w:rsidP="002D3F7D">
      <w:pPr>
        <w:pStyle w:val="BodyText"/>
      </w:pPr>
      <w:r>
        <w:t>Figure 16-</w:t>
      </w:r>
      <w:r w:rsidR="002D3F7D">
        <w:t xml:space="preserve"> 8 shows historical state grant revenues to the left of the dotted line, and projected revenues to the right.</w:t>
      </w:r>
    </w:p>
    <w:p w:rsidR="002D3F7D" w:rsidRDefault="00E12B2B" w:rsidP="002D3F7D">
      <w:pPr>
        <w:pStyle w:val="Caption"/>
      </w:pPr>
      <w:r>
        <w:lastRenderedPageBreak/>
        <w:t>Figure 16-</w:t>
      </w:r>
      <w:r w:rsidR="002D3F7D">
        <w:t>8.</w:t>
      </w:r>
      <w:r w:rsidR="002D3F7D">
        <w:tab/>
        <w:t>Parks State Grant Revenues 1993-2036 (Allocated for Capital Projects)</w:t>
      </w:r>
    </w:p>
    <w:p w:rsidR="002D3F7D" w:rsidRDefault="002D3F7D" w:rsidP="002D3F7D">
      <w:pPr>
        <w:pStyle w:val="BodyText"/>
      </w:pPr>
      <w:r>
        <w:rPr>
          <w:noProof/>
        </w:rPr>
        <w:drawing>
          <wp:inline distT="0" distB="0" distL="0" distR="0" wp14:anchorId="0EE5B4F8" wp14:editId="1D5C502F">
            <wp:extent cx="5943600" cy="3686175"/>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D3F7D" w:rsidRPr="00C34645" w:rsidRDefault="00E12B2B" w:rsidP="002D3F7D">
      <w:pPr>
        <w:pStyle w:val="BodyText"/>
      </w:pPr>
      <w:r>
        <w:t>Table 16-</w:t>
      </w:r>
      <w:r w:rsidR="002D3F7D">
        <w:t>9</w:t>
      </w:r>
      <w:r w:rsidR="002D3F7D" w:rsidRPr="003F4636">
        <w:t xml:space="preserve"> shows anticipated </w:t>
      </w:r>
      <w:r w:rsidR="002D3F7D">
        <w:t xml:space="preserve">state grant revenues for Parks capital projects for the next six years </w:t>
      </w:r>
      <w:r w:rsidR="002D3F7D" w:rsidRPr="00AE2D76">
        <w:t>and the remaining 14 years of the planning period.</w:t>
      </w:r>
    </w:p>
    <w:p w:rsidR="002D3F7D" w:rsidRDefault="00E12B2B" w:rsidP="002D3F7D">
      <w:pPr>
        <w:pStyle w:val="Caption"/>
      </w:pPr>
      <w:r>
        <w:t>Table 16-</w:t>
      </w:r>
      <w:r w:rsidR="002D3F7D">
        <w:t>9.</w:t>
      </w:r>
      <w:r w:rsidR="002D3F7D">
        <w:tab/>
        <w:t>Projected Future State Grant Revenues 2017 – 2036 (Available for Parks Capital Projects)</w:t>
      </w:r>
    </w:p>
    <w:p w:rsidR="002D3F7D" w:rsidRPr="001C25FA" w:rsidRDefault="002D3F7D" w:rsidP="002D3F7D">
      <w:pPr>
        <w:pStyle w:val="BodyText"/>
      </w:pPr>
      <w:r w:rsidRPr="00FA7AC3">
        <w:rPr>
          <w:noProof/>
        </w:rPr>
        <w:drawing>
          <wp:inline distT="0" distB="0" distL="0" distR="0" wp14:anchorId="6ECBA1D8" wp14:editId="150CD7ED">
            <wp:extent cx="6096000" cy="581025"/>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0" cy="581025"/>
                    </a:xfrm>
                    <a:prstGeom prst="rect">
                      <a:avLst/>
                    </a:prstGeom>
                    <a:noFill/>
                    <a:ln>
                      <a:noFill/>
                    </a:ln>
                  </pic:spPr>
                </pic:pic>
              </a:graphicData>
            </a:graphic>
          </wp:inline>
        </w:drawing>
      </w:r>
    </w:p>
    <w:p w:rsidR="002D3F7D" w:rsidRDefault="002D3F7D" w:rsidP="002D3F7D">
      <w:pPr>
        <w:pStyle w:val="Heading4"/>
      </w:pPr>
      <w:r>
        <w:t>Stormwater State Grants</w:t>
      </w:r>
    </w:p>
    <w:p w:rsidR="002D3F7D" w:rsidRDefault="002D3F7D" w:rsidP="002D3F7D">
      <w:pPr>
        <w:pStyle w:val="BodyText"/>
      </w:pPr>
      <w:r>
        <w:t>The Whatcom County Stormwater Fund was established in 2009 to account for projects and programs which protect water resources, improve water quality, and reduce impacts from stormwater runoff in the unincorporated areas of the county.  State stormwater grants are applied for through the Washington State Department of Ecology.</w:t>
      </w:r>
    </w:p>
    <w:p w:rsidR="002D3F7D" w:rsidRPr="008F7855" w:rsidRDefault="002D3F7D" w:rsidP="002D3F7D">
      <w:pPr>
        <w:pStyle w:val="BodyText"/>
      </w:pPr>
      <w:r w:rsidRPr="008F7855">
        <w:rPr>
          <w:rStyle w:val="Emphasis"/>
        </w:rPr>
        <w:t>Assumptions:</w:t>
      </w:r>
      <w:r w:rsidRPr="008F7855">
        <w:t xml:space="preserve"> These revenues have been estimated on a per capita basis on the assumption that over time a jurisdiction will generally receive its “fair share” of available grant revenues. Since 2009 Whatcom County has averaged $</w:t>
      </w:r>
      <w:r>
        <w:t>3.18</w:t>
      </w:r>
      <w:r w:rsidRPr="008F7855">
        <w:t xml:space="preserve"> per capita in grant revenues per year. This analysis </w:t>
      </w:r>
      <w:r>
        <w:t xml:space="preserve">conservatively </w:t>
      </w:r>
      <w:r w:rsidRPr="008F7855">
        <w:t xml:space="preserve">assumes that </w:t>
      </w:r>
      <w:r>
        <w:t>a $3 per capita</w:t>
      </w:r>
      <w:r w:rsidR="00286D1E">
        <w:t xml:space="preserve"> </w:t>
      </w:r>
      <w:r w:rsidRPr="008F7855">
        <w:t>rate continues in the future with no annual increase. Total revenues are therefore only expected to change on pace with changes in population.</w:t>
      </w:r>
    </w:p>
    <w:p w:rsidR="002D3F7D" w:rsidRPr="008F7855" w:rsidRDefault="002D3F7D" w:rsidP="002D3F7D">
      <w:pPr>
        <w:pStyle w:val="BodyText"/>
      </w:pPr>
      <w:r w:rsidRPr="008F7855">
        <w:lastRenderedPageBreak/>
        <w:t>For this analysis average annual dollars are assumed in each year. However, in reality these dollars will vary greatly from year to year since they are awarded on a project-specific basis.</w:t>
      </w:r>
    </w:p>
    <w:p w:rsidR="002D3F7D" w:rsidRDefault="00E12B2B" w:rsidP="002D3F7D">
      <w:pPr>
        <w:pStyle w:val="BodyText"/>
      </w:pPr>
      <w:r>
        <w:t>Figure 16-</w:t>
      </w:r>
      <w:r w:rsidR="002D3F7D">
        <w:t>9</w:t>
      </w:r>
      <w:r w:rsidR="002D3F7D" w:rsidRPr="008F7855">
        <w:t xml:space="preserve"> shows historical state grant revenues to the left of the dotted line, and projected revenues to the right.</w:t>
      </w:r>
    </w:p>
    <w:p w:rsidR="002D3F7D" w:rsidRDefault="00E12B2B" w:rsidP="002D3F7D">
      <w:pPr>
        <w:pStyle w:val="Caption"/>
      </w:pPr>
      <w:r>
        <w:t>Figure 16-</w:t>
      </w:r>
      <w:r w:rsidR="002D3F7D">
        <w:t>9.</w:t>
      </w:r>
      <w:r w:rsidR="002D3F7D">
        <w:tab/>
        <w:t>Stormwater State Grant Revenues 2009-2036 (Allocated for Capital Projects)</w:t>
      </w:r>
    </w:p>
    <w:p w:rsidR="002D3F7D" w:rsidRDefault="002D3F7D" w:rsidP="002D3F7D">
      <w:pPr>
        <w:pStyle w:val="BodyText"/>
      </w:pPr>
      <w:r>
        <w:rPr>
          <w:noProof/>
        </w:rPr>
        <w:drawing>
          <wp:inline distT="0" distB="0" distL="0" distR="0" wp14:anchorId="4030D6A1" wp14:editId="2CA6ADB0">
            <wp:extent cx="5943600" cy="329565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D3F7D" w:rsidRPr="00C34645" w:rsidRDefault="00E12B2B" w:rsidP="002D3F7D">
      <w:pPr>
        <w:pStyle w:val="BodyText"/>
      </w:pPr>
      <w:r>
        <w:t>Table 16-</w:t>
      </w:r>
      <w:r w:rsidR="002D3F7D">
        <w:t>10</w:t>
      </w:r>
      <w:r w:rsidR="002D3F7D" w:rsidRPr="003F4636">
        <w:t xml:space="preserve"> shows anticipated </w:t>
      </w:r>
      <w:r w:rsidR="002D3F7D">
        <w:t xml:space="preserve">state grant revenues for Stormwater capital projects for the next six years </w:t>
      </w:r>
      <w:r w:rsidR="002D3F7D" w:rsidRPr="00AE2D76">
        <w:t>and the remaining 14 years of the planning period.</w:t>
      </w:r>
    </w:p>
    <w:p w:rsidR="002D3F7D" w:rsidRDefault="00E12B2B" w:rsidP="002D3F7D">
      <w:pPr>
        <w:pStyle w:val="Caption"/>
      </w:pPr>
      <w:r>
        <w:t>Table 16-</w:t>
      </w:r>
      <w:r w:rsidR="002D3F7D">
        <w:t>10.</w:t>
      </w:r>
      <w:r w:rsidR="002D3F7D">
        <w:tab/>
        <w:t>Projected Future State Grant Revenues 2017 – 2036 (Available for Stormwater Capital Projects)</w:t>
      </w:r>
    </w:p>
    <w:p w:rsidR="002D3F7D" w:rsidRPr="005D427A" w:rsidRDefault="002D3F7D" w:rsidP="002D3F7D">
      <w:pPr>
        <w:pStyle w:val="BodyText"/>
      </w:pPr>
      <w:r w:rsidRPr="001E23DE">
        <w:rPr>
          <w:noProof/>
        </w:rPr>
        <w:drawing>
          <wp:inline distT="0" distB="0" distL="0" distR="0" wp14:anchorId="0FE320E2" wp14:editId="17712E22">
            <wp:extent cx="6181725" cy="5429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1725" cy="542925"/>
                    </a:xfrm>
                    <a:prstGeom prst="rect">
                      <a:avLst/>
                    </a:prstGeom>
                    <a:noFill/>
                    <a:ln>
                      <a:noFill/>
                    </a:ln>
                  </pic:spPr>
                </pic:pic>
              </a:graphicData>
            </a:graphic>
          </wp:inline>
        </w:drawing>
      </w:r>
    </w:p>
    <w:p w:rsidR="002D3F7D" w:rsidRDefault="002D3F7D" w:rsidP="002D3F7D">
      <w:pPr>
        <w:pStyle w:val="Heading4"/>
      </w:pPr>
      <w:r>
        <w:t>Stormwater Federal Grants</w:t>
      </w:r>
    </w:p>
    <w:p w:rsidR="002D3F7D" w:rsidRDefault="002D3F7D" w:rsidP="002D3F7D">
      <w:pPr>
        <w:pStyle w:val="BodyText"/>
      </w:pPr>
      <w:r>
        <w:t xml:space="preserve">The Whatcom County Stormwater Fund was established in 2009 to account for projects and programs which protect water resources, improve water quality, and reduce impacts from stormwater runoff in the unincorporated areas of the county.  Federal stormwater grants are applied for from the Environmental Protection Agency. </w:t>
      </w:r>
    </w:p>
    <w:p w:rsidR="002D3F7D" w:rsidRPr="008F7855" w:rsidRDefault="002D3F7D" w:rsidP="002D3F7D">
      <w:pPr>
        <w:pStyle w:val="BodyText"/>
      </w:pPr>
      <w:r w:rsidRPr="008F7855">
        <w:rPr>
          <w:rStyle w:val="Emphasis"/>
        </w:rPr>
        <w:t>Assumptions:</w:t>
      </w:r>
      <w:r w:rsidRPr="008F7855">
        <w:t xml:space="preserve"> These revenues have been estimated on a per capita basis on the assumption that over time a jurisdiction will generally receive its “fair share” of available grant revenues. Since 2009 Whatcom County has averaged $</w:t>
      </w:r>
      <w:r>
        <w:t>.95</w:t>
      </w:r>
      <w:r w:rsidRPr="008F7855">
        <w:t xml:space="preserve"> per capita in grant revenues per year</w:t>
      </w:r>
      <w:r>
        <w:t xml:space="preserve">; however, federal grant </w:t>
      </w:r>
      <w:r>
        <w:lastRenderedPageBreak/>
        <w:t>funding has been more sporadic than state funding</w:t>
      </w:r>
      <w:r w:rsidRPr="008F7855">
        <w:t xml:space="preserve">. This analysis assumes </w:t>
      </w:r>
      <w:r>
        <w:t xml:space="preserve">a $.95 per capita </w:t>
      </w:r>
      <w:r w:rsidRPr="008F7855">
        <w:t xml:space="preserve">rate </w:t>
      </w:r>
      <w:r>
        <w:t xml:space="preserve">that </w:t>
      </w:r>
      <w:r w:rsidRPr="008F7855">
        <w:t>continues in the future with no annual increase. Total revenues are therefore only expected to change on pace with changes in population.</w:t>
      </w:r>
    </w:p>
    <w:p w:rsidR="002D3F7D" w:rsidRPr="008F7855" w:rsidRDefault="002D3F7D" w:rsidP="002D3F7D">
      <w:pPr>
        <w:pStyle w:val="BodyText"/>
      </w:pPr>
      <w:r w:rsidRPr="008F7855">
        <w:t>For this analysis average annual dollars are assumed in each year. However, in reality these dollars will vary greatly from year to year since they are awarded on a project-specific basis.</w:t>
      </w:r>
    </w:p>
    <w:p w:rsidR="002D3F7D" w:rsidRDefault="00E12B2B" w:rsidP="002D3F7D">
      <w:pPr>
        <w:pStyle w:val="BodyText"/>
      </w:pPr>
      <w:r>
        <w:t>Figure 16-</w:t>
      </w:r>
      <w:r w:rsidR="002D3F7D" w:rsidRPr="008F7855">
        <w:t>1</w:t>
      </w:r>
      <w:r w:rsidR="002D3F7D">
        <w:t>0</w:t>
      </w:r>
      <w:r w:rsidR="002D3F7D" w:rsidRPr="008F7855">
        <w:t xml:space="preserve"> shows historical state grant revenues to the left of the dotted line, and projected revenues to the right.</w:t>
      </w:r>
    </w:p>
    <w:p w:rsidR="002D3F7D" w:rsidRDefault="00E12B2B" w:rsidP="002D3F7D">
      <w:pPr>
        <w:pStyle w:val="Caption"/>
      </w:pPr>
      <w:r>
        <w:t>Figure 16-</w:t>
      </w:r>
      <w:r w:rsidR="002D3F7D">
        <w:t>10.</w:t>
      </w:r>
      <w:r w:rsidR="002D3F7D">
        <w:tab/>
        <w:t>Stormwater Federal Grant Revenues 2009-2036 (Allocated for Capital Projects)</w:t>
      </w:r>
    </w:p>
    <w:p w:rsidR="002D3F7D" w:rsidRDefault="002D3F7D" w:rsidP="002D3F7D">
      <w:pPr>
        <w:pStyle w:val="BodyText"/>
      </w:pPr>
      <w:r>
        <w:rPr>
          <w:noProof/>
        </w:rPr>
        <w:drawing>
          <wp:inline distT="0" distB="0" distL="0" distR="0" wp14:anchorId="2C7F349A" wp14:editId="2711BC6E">
            <wp:extent cx="5943600" cy="3467100"/>
            <wp:effectExtent l="0" t="0" r="0" b="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D3F7D" w:rsidRDefault="00E12B2B" w:rsidP="002D3F7D">
      <w:pPr>
        <w:pStyle w:val="BodyText"/>
      </w:pPr>
      <w:r>
        <w:t>Table 16-</w:t>
      </w:r>
      <w:r w:rsidR="002D3F7D">
        <w:t>11</w:t>
      </w:r>
      <w:r w:rsidR="002D3F7D" w:rsidRPr="003F4636">
        <w:t xml:space="preserve"> shows anticipated </w:t>
      </w:r>
      <w:r w:rsidR="002D3F7D">
        <w:t xml:space="preserve">federal grant revenues for Stormwater capital projects for the next six years </w:t>
      </w:r>
      <w:r w:rsidR="002D3F7D" w:rsidRPr="00AE2D76">
        <w:t>and the remaining 14 years of the planning period.</w:t>
      </w:r>
    </w:p>
    <w:p w:rsidR="002D3F7D" w:rsidRDefault="00E12B2B" w:rsidP="002D3F7D">
      <w:pPr>
        <w:pStyle w:val="Caption"/>
      </w:pPr>
      <w:r>
        <w:t>Table 16-</w:t>
      </w:r>
      <w:r w:rsidR="002D3F7D">
        <w:t>11.</w:t>
      </w:r>
      <w:r w:rsidR="002D3F7D">
        <w:tab/>
        <w:t>Projected Future Federal Grant Revenues 2017 – 2036 (Available for Stormwater Capital Projects)</w:t>
      </w:r>
    </w:p>
    <w:p w:rsidR="002D3F7D" w:rsidRPr="00B835D7" w:rsidRDefault="002D3F7D" w:rsidP="002D3F7D">
      <w:r w:rsidRPr="00604D83">
        <w:rPr>
          <w:noProof/>
        </w:rPr>
        <w:drawing>
          <wp:inline distT="0" distB="0" distL="0" distR="0" wp14:anchorId="45D8AEA2" wp14:editId="24B04BC1">
            <wp:extent cx="6105525" cy="5429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05525" cy="542925"/>
                    </a:xfrm>
                    <a:prstGeom prst="rect">
                      <a:avLst/>
                    </a:prstGeom>
                    <a:noFill/>
                    <a:ln>
                      <a:noFill/>
                    </a:ln>
                  </pic:spPr>
                </pic:pic>
              </a:graphicData>
            </a:graphic>
          </wp:inline>
        </w:drawing>
      </w:r>
    </w:p>
    <w:p w:rsidR="002D3F7D" w:rsidRDefault="002D3F7D" w:rsidP="002D3F7D">
      <w:pPr>
        <w:pStyle w:val="Heading4"/>
      </w:pPr>
      <w:r>
        <w:t>Total Other Capital Revenues</w:t>
      </w:r>
    </w:p>
    <w:p w:rsidR="002D3F7D" w:rsidRDefault="00E12B2B" w:rsidP="002D3F7D">
      <w:pPr>
        <w:pStyle w:val="BodyText"/>
      </w:pPr>
      <w:r>
        <w:t>Table 16-</w:t>
      </w:r>
      <w:r w:rsidR="002D3F7D">
        <w:t>12 summarizes total other capital revenues for the next six years and the remaining 14 years of the planning period.</w:t>
      </w:r>
    </w:p>
    <w:p w:rsidR="002D3F7D" w:rsidRDefault="00E12B2B" w:rsidP="002D3F7D">
      <w:pPr>
        <w:pStyle w:val="Caption"/>
      </w:pPr>
      <w:bookmarkStart w:id="80" w:name="_Toc245621910"/>
      <w:r>
        <w:lastRenderedPageBreak/>
        <w:t>Table 16-</w:t>
      </w:r>
      <w:r w:rsidR="002D3F7D">
        <w:t>12.</w:t>
      </w:r>
      <w:r w:rsidR="002D3F7D">
        <w:tab/>
        <w:t>Projected Total Other Capital Revenues</w:t>
      </w:r>
      <w:bookmarkEnd w:id="80"/>
    </w:p>
    <w:p w:rsidR="002D3F7D" w:rsidRDefault="002D3F7D" w:rsidP="002D3F7D">
      <w:pPr>
        <w:pStyle w:val="TableNotes"/>
      </w:pPr>
      <w:r w:rsidRPr="00604D83">
        <w:rPr>
          <w:noProof/>
        </w:rPr>
        <w:drawing>
          <wp:inline distT="0" distB="0" distL="0" distR="0" wp14:anchorId="6B9AB8FA" wp14:editId="29B74A27">
            <wp:extent cx="6048375" cy="54292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48375" cy="542925"/>
                    </a:xfrm>
                    <a:prstGeom prst="rect">
                      <a:avLst/>
                    </a:prstGeom>
                    <a:noFill/>
                    <a:ln>
                      <a:noFill/>
                    </a:ln>
                  </pic:spPr>
                </pic:pic>
              </a:graphicData>
            </a:graphic>
          </wp:inline>
        </w:drawing>
      </w:r>
    </w:p>
    <w:p w:rsidR="002D3F7D" w:rsidRDefault="002D3F7D" w:rsidP="002D3F7D">
      <w:pPr>
        <w:pStyle w:val="Heading4"/>
      </w:pPr>
      <w:r>
        <w:t>Total Capital Revenues</w:t>
      </w:r>
    </w:p>
    <w:p w:rsidR="002D3F7D" w:rsidRDefault="00E12B2B" w:rsidP="002D3F7D">
      <w:pPr>
        <w:pStyle w:val="BodyText"/>
      </w:pPr>
      <w:r>
        <w:t>Table 16-</w:t>
      </w:r>
      <w:r w:rsidR="002D3F7D">
        <w:t xml:space="preserve">13 summarizes total capital revenues (transportation and other) available for the next six years and the remaining 14 years of the planning period. </w:t>
      </w:r>
    </w:p>
    <w:p w:rsidR="002D3F7D" w:rsidRPr="00D22873" w:rsidRDefault="00E12B2B" w:rsidP="002D3F7D">
      <w:pPr>
        <w:pStyle w:val="Caption"/>
      </w:pPr>
      <w:bookmarkStart w:id="81" w:name="_Toc245621911"/>
      <w:r>
        <w:t>Table 16-</w:t>
      </w:r>
      <w:r w:rsidR="002D3F7D">
        <w:t>13</w:t>
      </w:r>
      <w:r w:rsidR="002D3F7D" w:rsidRPr="00D22873">
        <w:t>.</w:t>
      </w:r>
      <w:r w:rsidR="002D3F7D" w:rsidRPr="00D22873">
        <w:tab/>
        <w:t>Projected Total Capital Revenues</w:t>
      </w:r>
      <w:bookmarkEnd w:id="81"/>
    </w:p>
    <w:p w:rsidR="002D3F7D" w:rsidRPr="00B63914" w:rsidRDefault="002D3F7D" w:rsidP="002D3F7D">
      <w:pPr>
        <w:pStyle w:val="TableNotesLast"/>
      </w:pPr>
      <w:r w:rsidRPr="00752E36">
        <w:rPr>
          <w:noProof/>
        </w:rPr>
        <w:drawing>
          <wp:inline distT="0" distB="0" distL="0" distR="0" wp14:anchorId="32F454FE" wp14:editId="626D55E9">
            <wp:extent cx="6048375" cy="5429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48375" cy="542925"/>
                    </a:xfrm>
                    <a:prstGeom prst="rect">
                      <a:avLst/>
                    </a:prstGeom>
                    <a:noFill/>
                    <a:ln>
                      <a:noFill/>
                    </a:ln>
                  </pic:spPr>
                </pic:pic>
              </a:graphicData>
            </a:graphic>
          </wp:inline>
        </w:drawing>
      </w:r>
    </w:p>
    <w:p w:rsidR="002D3F7D" w:rsidRDefault="002D3F7D" w:rsidP="002D3F7D">
      <w:pPr>
        <w:pStyle w:val="Heading2"/>
      </w:pPr>
      <w:bookmarkStart w:id="82" w:name="_Toc245621823"/>
      <w:r>
        <w:t>Impact of Reduced Levels of Annexation</w:t>
      </w:r>
      <w:bookmarkEnd w:id="82"/>
    </w:p>
    <w:p w:rsidR="002D3F7D" w:rsidRDefault="002D3F7D" w:rsidP="002D3F7D">
      <w:pPr>
        <w:pStyle w:val="BodyText"/>
      </w:pPr>
      <w:r>
        <w:t xml:space="preserve">Based on the structures used for each revenue projection outlined above, if the UGAs in Whatcom County were not completely annexed by the end of the study period, revenues would increase from the base, 100% annexation assumption. All else being equal, Whatcom County would have more assessed value of real property in the unincorporated parts of the County, leading to higher road levy and REET revenues. It would also retain more population in the unincorporated areas of the County, leading to higher state and federal transportation grant revenues. </w:t>
      </w:r>
    </w:p>
    <w:p w:rsidR="002D3F7D" w:rsidRDefault="002D3F7D" w:rsidP="002D3F7D">
      <w:pPr>
        <w:pStyle w:val="Heading2"/>
      </w:pPr>
      <w:bookmarkStart w:id="83" w:name="_Toc245621824"/>
      <w:r>
        <w:t>Potential Policy Options</w:t>
      </w:r>
      <w:bookmarkEnd w:id="83"/>
    </w:p>
    <w:p w:rsidR="002D3F7D" w:rsidRDefault="002D3F7D" w:rsidP="002D3F7D">
      <w:pPr>
        <w:pStyle w:val="Heading4"/>
      </w:pPr>
      <w:r>
        <w:t>Road Levy Banked Capacity</w:t>
      </w:r>
    </w:p>
    <w:p w:rsidR="002D3F7D" w:rsidRDefault="002D3F7D" w:rsidP="002D3F7D">
      <w:pPr>
        <w:pStyle w:val="BodyText"/>
      </w:pPr>
      <w:r>
        <w:t xml:space="preserve">As discussed in the first section of this analysis, if a jurisdiction does not increase the Property Tax levy rate annually to collect the full 1.0% allowed increase in revenues, the difference between the collected value and the allowed 1.0% increase becomes “banked capacity” which may be collected in future years. Currently Whatcom County has banked capacity of </w:t>
      </w:r>
      <w:r w:rsidRPr="004861C9">
        <w:t>approximately $1.</w:t>
      </w:r>
      <w:r>
        <w:t>8</w:t>
      </w:r>
      <w:r w:rsidRPr="004861C9">
        <w:t xml:space="preserve"> million</w:t>
      </w:r>
      <w:r>
        <w:t xml:space="preserve">, which means that the County could increase the levy rate to raise this much additional revenue annually. </w:t>
      </w:r>
    </w:p>
    <w:p w:rsidR="002D3F7D" w:rsidRDefault="002D3F7D" w:rsidP="002D3F7D">
      <w:pPr>
        <w:pStyle w:val="BodyText"/>
      </w:pPr>
      <w:r>
        <w:t xml:space="preserve">If the County chooses not to take this banked capacity, it increases each year. </w:t>
      </w:r>
      <w:r w:rsidRPr="004861C9">
        <w:t xml:space="preserve">Under this scenario, by the end of the study period (2036), total estimated banked capacity </w:t>
      </w:r>
      <w:r>
        <w:t>would be</w:t>
      </w:r>
      <w:r w:rsidRPr="004861C9">
        <w:t xml:space="preserve"> about $</w:t>
      </w:r>
      <w:r>
        <w:t>6.7 million.</w:t>
      </w:r>
    </w:p>
    <w:p w:rsidR="002D3F7D" w:rsidRDefault="002D3F7D" w:rsidP="002D3F7D">
      <w:pPr>
        <w:pStyle w:val="Heading4"/>
      </w:pPr>
      <w:r w:rsidRPr="00614921">
        <w:t xml:space="preserve">Stormwater Management Revenue </w:t>
      </w:r>
    </w:p>
    <w:p w:rsidR="002D3F7D" w:rsidRPr="002F755B" w:rsidRDefault="002D3F7D" w:rsidP="00AF0F94">
      <w:pPr>
        <w:spacing w:line="276" w:lineRule="auto"/>
        <w:rPr>
          <w:rFonts w:eastAsiaTheme="minorHAnsi"/>
        </w:rPr>
      </w:pPr>
      <w:r w:rsidRPr="002F755B">
        <w:t xml:space="preserve">Whatcom County’s stormwater management programs address state and federal water quality mandates and localized drainage and flooding problems that affect urbanized landscapes. These include, but are not limited to, design and construction of stormwater facilities, enhanced development standards, aggressive maintenance schedules, </w:t>
      </w:r>
      <w:r>
        <w:t xml:space="preserve">and </w:t>
      </w:r>
      <w:r w:rsidRPr="002F755B">
        <w:t xml:space="preserve">regular facility inspections associated with the Lake Whatcom Total Maximum Daily Load (TMDL) and the County’s </w:t>
      </w:r>
      <w:r w:rsidRPr="002F755B">
        <w:lastRenderedPageBreak/>
        <w:t xml:space="preserve">National Pollutant Discharge Elimination System (NPDES) Phase II permit. Stormwater management programs are supported locally by the Road Fund, Real Estate Excise Tax Fund II, Flood Control Zone District Fund, and Birch Bay Watershed and Aquatic Resources Management District. State grants are a substantial revenue source, particularly for the capital program. </w:t>
      </w:r>
    </w:p>
    <w:p w:rsidR="002D3F7D" w:rsidRPr="002F755B" w:rsidRDefault="002D3F7D" w:rsidP="00AF0F94">
      <w:pPr>
        <w:spacing w:line="276" w:lineRule="auto"/>
      </w:pPr>
      <w:r w:rsidRPr="002F755B">
        <w:t xml:space="preserve">Future stormwater management services </w:t>
      </w:r>
      <w:r>
        <w:t>may require</w:t>
      </w:r>
      <w:r w:rsidRPr="002F755B">
        <w:t xml:space="preserve"> additional revenues between year five and the end of the 20-year planning period. At the present time, it cannot be accurately predicted what the appropriate allocation of local revenues and the availability of state and federal funds will be for that period. New revenues collected explicitly for stormwater management may be needed.</w:t>
      </w:r>
    </w:p>
    <w:p w:rsidR="002D3F7D" w:rsidRDefault="002D3F7D" w:rsidP="002D3F7D">
      <w:pPr>
        <w:pStyle w:val="Heading4"/>
      </w:pPr>
      <w:r>
        <w:t>Transportation Impact Fees</w:t>
      </w:r>
    </w:p>
    <w:p w:rsidR="002D3F7D" w:rsidRDefault="002D3F7D" w:rsidP="002D3F7D">
      <w:pPr>
        <w:pStyle w:val="BodyText"/>
      </w:pPr>
      <w:r>
        <w:t xml:space="preserve">Impact fees are a financing tool that requires new development to pay a portion of the costs associated with infrastructure improvements that are “reasonably related” to that development. The GMA allows agencies to develop and implement a transportation impact fee program to help fund some of the costs of transportation facilities needed to accommodate growth. State law (Chapter 82.02 RCW) requires that impact fees be related to improvements to serve new developments and not existing deficiencies; assessed proportional to the impacts of new developments; allocated for improvements that reasonably benefit new development; and spent on facilities identified in the Capital Facilities Plan. </w:t>
      </w:r>
    </w:p>
    <w:p w:rsidR="002D3F7D" w:rsidRDefault="002D3F7D" w:rsidP="002D3F7D">
      <w:pPr>
        <w:pStyle w:val="BodyText"/>
      </w:pPr>
      <w:r>
        <w:t>Legally, financing for improvements that will serve the new development cannot rely solely on impact fees and must include other sources of public funds, and the fees must be structured in a manner that ensures that funds collected do not exceed a proportionate share of the costs of improvements reasonably related to new development.</w:t>
      </w:r>
    </w:p>
    <w:p w:rsidR="002D3F7D" w:rsidRDefault="002D3F7D" w:rsidP="002D3F7D">
      <w:pPr>
        <w:pStyle w:val="BodyText"/>
      </w:pPr>
      <w:r w:rsidRPr="00E8086B">
        <w:t xml:space="preserve">The County </w:t>
      </w:r>
      <w:r>
        <w:t xml:space="preserve">has studied </w:t>
      </w:r>
      <w:r w:rsidRPr="00E8086B">
        <w:t xml:space="preserve">implementation of a transportation impact fee </w:t>
      </w:r>
      <w:r>
        <w:t xml:space="preserve">but no policy direction on this revenue source has been adopted yet. </w:t>
      </w:r>
      <w:r w:rsidRPr="00E8086B">
        <w:t xml:space="preserve"> If the County were to implement this fee, revenues would vary based on the chosen fee rate and the types and amount of development that occurs.  </w:t>
      </w:r>
    </w:p>
    <w:p w:rsidR="002D3F7D" w:rsidRDefault="002D3F7D" w:rsidP="002D3F7D">
      <w:pPr>
        <w:pStyle w:val="Heading4"/>
      </w:pPr>
      <w:r>
        <w:t>Park Impact Fees</w:t>
      </w:r>
    </w:p>
    <w:p w:rsidR="002D3F7D" w:rsidRDefault="002D3F7D" w:rsidP="002D3F7D">
      <w:pPr>
        <w:pStyle w:val="BodyText"/>
      </w:pPr>
      <w:r>
        <w:t>The same state law that authorizes transportation impact fees described above also authorizes the County to adopt impact fees for parks and recreational facilities.  The same rules and conditions for transportation impact fees would apply to park impact fees.</w:t>
      </w:r>
    </w:p>
    <w:p w:rsidR="002D3F7D" w:rsidRDefault="002D3F7D" w:rsidP="002D3F7D">
      <w:pPr>
        <w:pStyle w:val="Heading4"/>
      </w:pPr>
      <w:r>
        <w:t>Existing Fund Balances</w:t>
      </w:r>
    </w:p>
    <w:p w:rsidR="002D3F7D" w:rsidRDefault="00E12B2B" w:rsidP="002D3F7D">
      <w:pPr>
        <w:pStyle w:val="BodyText"/>
      </w:pPr>
      <w:r>
        <w:t>Table 16-</w:t>
      </w:r>
      <w:r w:rsidR="002D3F7D">
        <w:t>14 presents existing fund balances as of 1/1/2016 which are potentially available to support capital projects:</w:t>
      </w:r>
    </w:p>
    <w:p w:rsidR="00286D1E" w:rsidRDefault="00286D1E" w:rsidP="002D3F7D">
      <w:pPr>
        <w:pStyle w:val="BodyText"/>
      </w:pPr>
    </w:p>
    <w:p w:rsidR="00286D1E" w:rsidRDefault="00286D1E" w:rsidP="002D3F7D">
      <w:pPr>
        <w:pStyle w:val="BodyText"/>
      </w:pPr>
    </w:p>
    <w:p w:rsidR="00286D1E" w:rsidRDefault="00286D1E" w:rsidP="002D3F7D">
      <w:pPr>
        <w:pStyle w:val="BodyText"/>
      </w:pPr>
    </w:p>
    <w:p w:rsidR="002D3F7D" w:rsidRDefault="00E12B2B" w:rsidP="002D3F7D">
      <w:pPr>
        <w:pStyle w:val="Caption"/>
        <w:rPr>
          <w:szCs w:val="22"/>
        </w:rPr>
      </w:pPr>
      <w:r>
        <w:lastRenderedPageBreak/>
        <w:t>Table 16-</w:t>
      </w:r>
      <w:r w:rsidR="002D3F7D">
        <w:t>14</w:t>
      </w:r>
      <w:r w:rsidR="002D3F7D" w:rsidRPr="00D22873">
        <w:t>.</w:t>
      </w:r>
      <w:r w:rsidR="002D3F7D" w:rsidRPr="00D22873">
        <w:tab/>
      </w:r>
      <w:r w:rsidR="002D3F7D">
        <w:t>Fund Balances Potentially Available For Capital Projects as of 1/1/2016</w:t>
      </w:r>
      <w:r w:rsidR="002D3F7D">
        <w:fldChar w:fldCharType="begin"/>
      </w:r>
      <w:r w:rsidR="002D3F7D">
        <w:instrText xml:space="preserve"> LINK Excel.Sheet.12 "\\\\co.whatcom.wa.us\\root\\DeptShare\\FN\\Capital Projects\\CapitalFacilitiesRevAnalysis -Revised2015\\Fund Balances.xlsx" "Sheet1!R4C1:R19C3" \a \f 5 \h  \* MERGEFORMAT </w:instrText>
      </w:r>
      <w:r w:rsidR="002D3F7D">
        <w:fldChar w:fldCharType="separate"/>
      </w:r>
    </w:p>
    <w:tbl>
      <w:tblPr>
        <w:tblStyle w:val="TableGrid"/>
        <w:tblW w:w="7160" w:type="dxa"/>
        <w:tblLook w:val="04A0" w:firstRow="1" w:lastRow="0" w:firstColumn="1" w:lastColumn="0" w:noHBand="0" w:noVBand="1"/>
      </w:tblPr>
      <w:tblGrid>
        <w:gridCol w:w="3460"/>
        <w:gridCol w:w="1620"/>
        <w:gridCol w:w="2080"/>
      </w:tblGrid>
      <w:tr w:rsidR="002D3F7D" w:rsidRPr="00FA1E09" w:rsidTr="002D3F7D">
        <w:trPr>
          <w:trHeight w:val="300"/>
        </w:trPr>
        <w:tc>
          <w:tcPr>
            <w:tcW w:w="3460" w:type="dxa"/>
            <w:noWrap/>
            <w:hideMark/>
          </w:tcPr>
          <w:p w:rsidR="002D3F7D" w:rsidRPr="00FA1E09" w:rsidRDefault="002D3F7D" w:rsidP="002D3F7D">
            <w:pPr>
              <w:pStyle w:val="BodyText"/>
              <w:rPr>
                <w:b/>
                <w:bCs/>
              </w:rPr>
            </w:pPr>
            <w:r w:rsidRPr="00FA1E09">
              <w:rPr>
                <w:b/>
                <w:bCs/>
              </w:rPr>
              <w:t>Fund Name</w:t>
            </w:r>
          </w:p>
        </w:tc>
        <w:tc>
          <w:tcPr>
            <w:tcW w:w="1620" w:type="dxa"/>
            <w:noWrap/>
            <w:hideMark/>
          </w:tcPr>
          <w:p w:rsidR="002D3F7D" w:rsidRPr="00FA1E09" w:rsidRDefault="002D3F7D" w:rsidP="002D3F7D">
            <w:pPr>
              <w:pStyle w:val="BodyText"/>
              <w:rPr>
                <w:b/>
                <w:bCs/>
              </w:rPr>
            </w:pPr>
            <w:r w:rsidRPr="00FA1E09">
              <w:rPr>
                <w:b/>
                <w:bCs/>
              </w:rPr>
              <w:t xml:space="preserve"> Balance </w:t>
            </w:r>
          </w:p>
        </w:tc>
        <w:tc>
          <w:tcPr>
            <w:tcW w:w="2080" w:type="dxa"/>
            <w:noWrap/>
            <w:hideMark/>
          </w:tcPr>
          <w:p w:rsidR="002D3F7D" w:rsidRPr="00FA1E09" w:rsidRDefault="002D3F7D" w:rsidP="002D3F7D">
            <w:pPr>
              <w:pStyle w:val="BodyText"/>
              <w:rPr>
                <w:b/>
                <w:bCs/>
              </w:rPr>
            </w:pPr>
            <w:r w:rsidRPr="00FA1E09">
              <w:rPr>
                <w:b/>
                <w:bCs/>
              </w:rPr>
              <w:t>Applicable to:</w:t>
            </w:r>
          </w:p>
        </w:tc>
      </w:tr>
      <w:tr w:rsidR="002D3F7D" w:rsidRPr="00FA1E09" w:rsidTr="002D3F7D">
        <w:trPr>
          <w:trHeight w:val="300"/>
        </w:trPr>
        <w:tc>
          <w:tcPr>
            <w:tcW w:w="3460" w:type="dxa"/>
            <w:noWrap/>
          </w:tcPr>
          <w:p w:rsidR="002D3F7D" w:rsidRPr="00FA1E09" w:rsidRDefault="002D3F7D" w:rsidP="002D3F7D">
            <w:pPr>
              <w:pStyle w:val="BodyText"/>
            </w:pPr>
            <w:r>
              <w:t xml:space="preserve">General </w:t>
            </w:r>
          </w:p>
        </w:tc>
        <w:tc>
          <w:tcPr>
            <w:tcW w:w="1620" w:type="dxa"/>
            <w:noWrap/>
          </w:tcPr>
          <w:p w:rsidR="002D3F7D" w:rsidRDefault="002D3F7D" w:rsidP="002D3F7D">
            <w:pPr>
              <w:pStyle w:val="BodyText"/>
            </w:pPr>
            <w:r>
              <w:t xml:space="preserve">  3,000,000</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hideMark/>
          </w:tcPr>
          <w:p w:rsidR="002D3F7D" w:rsidRPr="00FA1E09" w:rsidRDefault="002D3F7D" w:rsidP="002D3F7D">
            <w:pPr>
              <w:pStyle w:val="BodyText"/>
            </w:pPr>
            <w:r w:rsidRPr="00FA1E09">
              <w:t xml:space="preserve">Road </w:t>
            </w:r>
          </w:p>
        </w:tc>
        <w:tc>
          <w:tcPr>
            <w:tcW w:w="1620" w:type="dxa"/>
            <w:noWrap/>
            <w:hideMark/>
          </w:tcPr>
          <w:p w:rsidR="002D3F7D" w:rsidRPr="00FA1E09" w:rsidRDefault="002D3F7D" w:rsidP="002D3F7D">
            <w:pPr>
              <w:pStyle w:val="BodyText"/>
            </w:pPr>
            <w:r>
              <w:t>16,000,000</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tcPr>
          <w:p w:rsidR="002D3F7D" w:rsidRPr="00FA1E09" w:rsidRDefault="002D3F7D" w:rsidP="002D3F7D">
            <w:pPr>
              <w:pStyle w:val="BodyText"/>
            </w:pPr>
            <w:r>
              <w:t xml:space="preserve">Chemical Depend/Mental Health </w:t>
            </w:r>
          </w:p>
        </w:tc>
        <w:tc>
          <w:tcPr>
            <w:tcW w:w="1620" w:type="dxa"/>
            <w:noWrap/>
          </w:tcPr>
          <w:p w:rsidR="002D3F7D" w:rsidRPr="00FA1E09" w:rsidRDefault="002D3F7D" w:rsidP="002D3F7D">
            <w:pPr>
              <w:pStyle w:val="BodyText"/>
            </w:pPr>
            <w:r>
              <w:t xml:space="preserve">  3,000,000</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hideMark/>
          </w:tcPr>
          <w:p w:rsidR="002D3F7D" w:rsidRPr="00FA1E09" w:rsidRDefault="002D3F7D" w:rsidP="002D3F7D">
            <w:pPr>
              <w:pStyle w:val="BodyText"/>
            </w:pPr>
            <w:r w:rsidRPr="00FA1E09">
              <w:t>Conservation Futures</w:t>
            </w:r>
          </w:p>
        </w:tc>
        <w:tc>
          <w:tcPr>
            <w:tcW w:w="1620" w:type="dxa"/>
            <w:noWrap/>
            <w:hideMark/>
          </w:tcPr>
          <w:p w:rsidR="002D3F7D" w:rsidRPr="00FA1E09" w:rsidRDefault="002D3F7D" w:rsidP="002D3F7D">
            <w:pPr>
              <w:pStyle w:val="BodyText"/>
            </w:pPr>
            <w:r w:rsidRPr="00FA1E09">
              <w:t xml:space="preserve">  </w:t>
            </w:r>
            <w:r>
              <w:t>2,465,082</w:t>
            </w:r>
            <w:r w:rsidRPr="00FA1E09">
              <w:t xml:space="preserve"> </w:t>
            </w:r>
          </w:p>
        </w:tc>
        <w:tc>
          <w:tcPr>
            <w:tcW w:w="2080" w:type="dxa"/>
            <w:noWrap/>
            <w:hideMark/>
          </w:tcPr>
          <w:p w:rsidR="002D3F7D" w:rsidRPr="00FA1E09" w:rsidRDefault="002D3F7D" w:rsidP="002D3F7D">
            <w:pPr>
              <w:pStyle w:val="BodyText"/>
            </w:pPr>
            <w:r w:rsidRPr="00FA1E09">
              <w:t>Parks</w:t>
            </w:r>
          </w:p>
        </w:tc>
      </w:tr>
      <w:tr w:rsidR="002D3F7D" w:rsidRPr="00FA1E09" w:rsidTr="002D3F7D">
        <w:trPr>
          <w:trHeight w:val="300"/>
        </w:trPr>
        <w:tc>
          <w:tcPr>
            <w:tcW w:w="3460" w:type="dxa"/>
            <w:noWrap/>
            <w:hideMark/>
          </w:tcPr>
          <w:p w:rsidR="002D3F7D" w:rsidRPr="00FA1E09" w:rsidRDefault="002D3F7D" w:rsidP="002D3F7D">
            <w:pPr>
              <w:pStyle w:val="BodyText"/>
            </w:pPr>
            <w:r w:rsidRPr="00FA1E09">
              <w:t>Real Estate Excise Tax I</w:t>
            </w:r>
          </w:p>
        </w:tc>
        <w:tc>
          <w:tcPr>
            <w:tcW w:w="1620" w:type="dxa"/>
            <w:noWrap/>
            <w:hideMark/>
          </w:tcPr>
          <w:p w:rsidR="002D3F7D" w:rsidRPr="00FA1E09" w:rsidRDefault="002D3F7D" w:rsidP="002D3F7D">
            <w:pPr>
              <w:pStyle w:val="BodyText"/>
            </w:pPr>
            <w:r w:rsidRPr="00FA1E09">
              <w:t xml:space="preserve">  </w:t>
            </w:r>
            <w:r>
              <w:t>3,251,460</w:t>
            </w:r>
            <w:r w:rsidRPr="00FA1E09">
              <w:t xml:space="preserve"> </w:t>
            </w:r>
          </w:p>
        </w:tc>
        <w:tc>
          <w:tcPr>
            <w:tcW w:w="2080" w:type="dxa"/>
            <w:noWrap/>
            <w:hideMark/>
          </w:tcPr>
          <w:p w:rsidR="002D3F7D" w:rsidRPr="00FA1E09" w:rsidRDefault="002D3F7D" w:rsidP="002D3F7D">
            <w:pPr>
              <w:pStyle w:val="BodyText"/>
            </w:pPr>
            <w:r w:rsidRPr="00FA1E09">
              <w:t>Facilities</w:t>
            </w:r>
          </w:p>
        </w:tc>
      </w:tr>
      <w:tr w:rsidR="002D3F7D" w:rsidRPr="00FA1E09" w:rsidTr="002D3F7D">
        <w:trPr>
          <w:trHeight w:val="300"/>
        </w:trPr>
        <w:tc>
          <w:tcPr>
            <w:tcW w:w="3460" w:type="dxa"/>
            <w:noWrap/>
            <w:hideMark/>
          </w:tcPr>
          <w:p w:rsidR="002D3F7D" w:rsidRPr="00FA1E09" w:rsidRDefault="002D3F7D" w:rsidP="002D3F7D">
            <w:pPr>
              <w:pStyle w:val="BodyText"/>
            </w:pPr>
            <w:r w:rsidRPr="00FA1E09">
              <w:t>Real Estate Excise Tax II</w:t>
            </w:r>
          </w:p>
        </w:tc>
        <w:tc>
          <w:tcPr>
            <w:tcW w:w="1620" w:type="dxa"/>
            <w:noWrap/>
            <w:hideMark/>
          </w:tcPr>
          <w:p w:rsidR="002D3F7D" w:rsidRPr="00FA1E09" w:rsidRDefault="002D3F7D" w:rsidP="002D3F7D">
            <w:pPr>
              <w:pStyle w:val="BodyText"/>
            </w:pPr>
            <w:r>
              <w:t xml:space="preserve">  1,591,369</w:t>
            </w:r>
            <w:r w:rsidRPr="00FA1E09">
              <w:t xml:space="preserve"> </w:t>
            </w:r>
          </w:p>
        </w:tc>
        <w:tc>
          <w:tcPr>
            <w:tcW w:w="2080" w:type="dxa"/>
            <w:noWrap/>
            <w:hideMark/>
          </w:tcPr>
          <w:p w:rsidR="002D3F7D" w:rsidRPr="00FA1E09" w:rsidRDefault="002D3F7D" w:rsidP="002D3F7D">
            <w:pPr>
              <w:pStyle w:val="BodyText"/>
            </w:pPr>
            <w:r w:rsidRPr="00FA1E09">
              <w:t>Parks &amp; Stormwater</w:t>
            </w:r>
          </w:p>
        </w:tc>
      </w:tr>
      <w:tr w:rsidR="002D3F7D" w:rsidRPr="00FA1E09" w:rsidTr="002D3F7D">
        <w:trPr>
          <w:trHeight w:val="300"/>
        </w:trPr>
        <w:tc>
          <w:tcPr>
            <w:tcW w:w="3460" w:type="dxa"/>
            <w:noWrap/>
            <w:hideMark/>
          </w:tcPr>
          <w:p w:rsidR="002D3F7D" w:rsidRPr="00FA1E09" w:rsidRDefault="002D3F7D" w:rsidP="002D3F7D">
            <w:pPr>
              <w:pStyle w:val="BodyText"/>
            </w:pPr>
            <w:r>
              <w:t xml:space="preserve">Rural Sales Tax </w:t>
            </w:r>
          </w:p>
        </w:tc>
        <w:tc>
          <w:tcPr>
            <w:tcW w:w="1620" w:type="dxa"/>
            <w:noWrap/>
            <w:hideMark/>
          </w:tcPr>
          <w:p w:rsidR="002D3F7D" w:rsidRPr="00FA1E09" w:rsidRDefault="002D3F7D" w:rsidP="002D3F7D">
            <w:pPr>
              <w:pStyle w:val="BodyText"/>
            </w:pPr>
            <w:r w:rsidRPr="00FA1E09">
              <w:t xml:space="preserve">  </w:t>
            </w:r>
            <w:r>
              <w:t xml:space="preserve">   414,500</w:t>
            </w:r>
            <w:r w:rsidRPr="00FA1E09">
              <w:t xml:space="preserve"> </w:t>
            </w:r>
          </w:p>
        </w:tc>
        <w:tc>
          <w:tcPr>
            <w:tcW w:w="2080" w:type="dxa"/>
            <w:noWrap/>
            <w:hideMark/>
          </w:tcPr>
          <w:p w:rsidR="002D3F7D" w:rsidRPr="00FA1E09" w:rsidRDefault="002D3F7D" w:rsidP="002D3F7D">
            <w:pPr>
              <w:pStyle w:val="BodyText"/>
            </w:pPr>
            <w:r w:rsidRPr="00FA1E09">
              <w:t>Facilities</w:t>
            </w:r>
          </w:p>
        </w:tc>
      </w:tr>
      <w:tr w:rsidR="002D3F7D" w:rsidRPr="00FA1E09" w:rsidTr="002D3F7D">
        <w:trPr>
          <w:trHeight w:val="300"/>
        </w:trPr>
        <w:tc>
          <w:tcPr>
            <w:tcW w:w="3460" w:type="dxa"/>
            <w:noWrap/>
          </w:tcPr>
          <w:p w:rsidR="002D3F7D" w:rsidRPr="00FA1E09" w:rsidRDefault="002D3F7D" w:rsidP="002D3F7D">
            <w:pPr>
              <w:pStyle w:val="BodyText"/>
            </w:pPr>
            <w:r>
              <w:t>2010 Jail Improvements</w:t>
            </w:r>
          </w:p>
        </w:tc>
        <w:tc>
          <w:tcPr>
            <w:tcW w:w="1620" w:type="dxa"/>
            <w:noWrap/>
          </w:tcPr>
          <w:p w:rsidR="002D3F7D" w:rsidRPr="00FA1E09" w:rsidRDefault="002D3F7D" w:rsidP="002D3F7D">
            <w:pPr>
              <w:pStyle w:val="BodyText"/>
            </w:pPr>
            <w:r>
              <w:t xml:space="preserve">     733,734</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tcPr>
          <w:p w:rsidR="002D3F7D" w:rsidRPr="00FA1E09" w:rsidRDefault="002D3F7D" w:rsidP="002D3F7D">
            <w:pPr>
              <w:pStyle w:val="BodyText"/>
            </w:pPr>
            <w:r>
              <w:t>Superior Ct 4</w:t>
            </w:r>
            <w:r w:rsidRPr="00272390">
              <w:rPr>
                <w:vertAlign w:val="superscript"/>
              </w:rPr>
              <w:t>th</w:t>
            </w:r>
            <w:r>
              <w:t xml:space="preserve"> Judge Courtroom</w:t>
            </w:r>
          </w:p>
        </w:tc>
        <w:tc>
          <w:tcPr>
            <w:tcW w:w="1620" w:type="dxa"/>
            <w:noWrap/>
          </w:tcPr>
          <w:p w:rsidR="002D3F7D" w:rsidRPr="00FA1E09" w:rsidRDefault="002D3F7D" w:rsidP="002D3F7D">
            <w:pPr>
              <w:pStyle w:val="BodyText"/>
            </w:pPr>
            <w:r>
              <w:t xml:space="preserve">     143,897</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tcPr>
          <w:p w:rsidR="002D3F7D" w:rsidRPr="00FA1E09" w:rsidRDefault="002D3F7D" w:rsidP="002D3F7D">
            <w:pPr>
              <w:pStyle w:val="BodyText"/>
            </w:pPr>
            <w:r>
              <w:t>New Jail Project</w:t>
            </w:r>
          </w:p>
        </w:tc>
        <w:tc>
          <w:tcPr>
            <w:tcW w:w="1620" w:type="dxa"/>
            <w:noWrap/>
          </w:tcPr>
          <w:p w:rsidR="002D3F7D" w:rsidRPr="00FA1E09" w:rsidRDefault="002D3F7D" w:rsidP="002D3F7D">
            <w:pPr>
              <w:pStyle w:val="BodyText"/>
            </w:pPr>
            <w:r>
              <w:t xml:space="preserve">  1,738,147</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tcPr>
          <w:p w:rsidR="002D3F7D" w:rsidRPr="00FA1E09" w:rsidRDefault="002D3F7D" w:rsidP="002D3F7D">
            <w:pPr>
              <w:pStyle w:val="BodyText"/>
            </w:pPr>
            <w:r>
              <w:t>Courthouse Building Envelope</w:t>
            </w:r>
          </w:p>
        </w:tc>
        <w:tc>
          <w:tcPr>
            <w:tcW w:w="1620" w:type="dxa"/>
            <w:noWrap/>
          </w:tcPr>
          <w:p w:rsidR="002D3F7D" w:rsidRPr="00FA1E09" w:rsidRDefault="002D3F7D" w:rsidP="002D3F7D">
            <w:pPr>
              <w:pStyle w:val="BodyText"/>
            </w:pPr>
            <w:r>
              <w:t xml:space="preserve">     250,000</w:t>
            </w:r>
          </w:p>
        </w:tc>
        <w:tc>
          <w:tcPr>
            <w:tcW w:w="2080" w:type="dxa"/>
            <w:noWrap/>
          </w:tcPr>
          <w:p w:rsidR="002D3F7D" w:rsidRPr="00FA1E09" w:rsidRDefault="002D3F7D" w:rsidP="002D3F7D">
            <w:pPr>
              <w:pStyle w:val="BodyText"/>
            </w:pPr>
            <w:r>
              <w:t>Facilities</w:t>
            </w:r>
          </w:p>
        </w:tc>
      </w:tr>
      <w:tr w:rsidR="002D3F7D" w:rsidRPr="00FA1E09" w:rsidTr="002D3F7D">
        <w:trPr>
          <w:trHeight w:val="300"/>
        </w:trPr>
        <w:tc>
          <w:tcPr>
            <w:tcW w:w="3460" w:type="dxa"/>
            <w:noWrap/>
            <w:hideMark/>
          </w:tcPr>
          <w:p w:rsidR="002D3F7D" w:rsidRPr="00FA1E09" w:rsidRDefault="002D3F7D" w:rsidP="002D3F7D">
            <w:pPr>
              <w:pStyle w:val="BodyText"/>
            </w:pPr>
            <w:r w:rsidRPr="00FA1E09">
              <w:t>Lummi Nation Lease</w:t>
            </w:r>
          </w:p>
        </w:tc>
        <w:tc>
          <w:tcPr>
            <w:tcW w:w="1620" w:type="dxa"/>
            <w:noWrap/>
            <w:hideMark/>
          </w:tcPr>
          <w:p w:rsidR="002D3F7D" w:rsidRPr="00FA1E09" w:rsidRDefault="002D3F7D" w:rsidP="002D3F7D">
            <w:pPr>
              <w:pStyle w:val="BodyText"/>
            </w:pPr>
            <w:r w:rsidRPr="00FA1E09">
              <w:t xml:space="preserve">  1,997,378 </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hideMark/>
          </w:tcPr>
          <w:p w:rsidR="002D3F7D" w:rsidRPr="00FA1E09" w:rsidRDefault="002D3F7D" w:rsidP="002D3F7D">
            <w:pPr>
              <w:pStyle w:val="BodyText"/>
            </w:pPr>
            <w:r w:rsidRPr="00FA1E09">
              <w:t>Birch Bay Lynden/Portal Way Signal</w:t>
            </w:r>
          </w:p>
        </w:tc>
        <w:tc>
          <w:tcPr>
            <w:tcW w:w="1620" w:type="dxa"/>
            <w:noWrap/>
            <w:hideMark/>
          </w:tcPr>
          <w:p w:rsidR="002D3F7D" w:rsidRPr="00FA1E09" w:rsidRDefault="002D3F7D" w:rsidP="002D3F7D">
            <w:pPr>
              <w:pStyle w:val="BodyText"/>
            </w:pPr>
            <w:r w:rsidRPr="00FA1E09">
              <w:t xml:space="preserve">     1</w:t>
            </w:r>
            <w:r>
              <w:t>24,685</w:t>
            </w:r>
            <w:r w:rsidRPr="00FA1E09">
              <w:t xml:space="preserve"> </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hideMark/>
          </w:tcPr>
          <w:p w:rsidR="002D3F7D" w:rsidRPr="00FA1E09" w:rsidRDefault="002D3F7D" w:rsidP="002D3F7D">
            <w:pPr>
              <w:pStyle w:val="BodyText"/>
            </w:pPr>
            <w:r w:rsidRPr="00FA1E09">
              <w:t>Rural Rd Safety Program</w:t>
            </w:r>
          </w:p>
        </w:tc>
        <w:tc>
          <w:tcPr>
            <w:tcW w:w="1620" w:type="dxa"/>
            <w:noWrap/>
            <w:hideMark/>
          </w:tcPr>
          <w:p w:rsidR="002D3F7D" w:rsidRPr="00FA1E09" w:rsidRDefault="002D3F7D" w:rsidP="002D3F7D">
            <w:pPr>
              <w:pStyle w:val="BodyText"/>
            </w:pPr>
            <w:r w:rsidRPr="00FA1E09">
              <w:t xml:space="preserve">       38,257 </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hideMark/>
          </w:tcPr>
          <w:p w:rsidR="002D3F7D" w:rsidRPr="00FA1E09" w:rsidRDefault="002D3F7D" w:rsidP="002D3F7D">
            <w:pPr>
              <w:pStyle w:val="BodyText"/>
            </w:pPr>
            <w:r w:rsidRPr="00FA1E09">
              <w:t>Slater Rd Intersections</w:t>
            </w:r>
          </w:p>
        </w:tc>
        <w:tc>
          <w:tcPr>
            <w:tcW w:w="1620" w:type="dxa"/>
            <w:noWrap/>
            <w:hideMark/>
          </w:tcPr>
          <w:p w:rsidR="002D3F7D" w:rsidRPr="00FA1E09" w:rsidRDefault="002D3F7D" w:rsidP="002D3F7D">
            <w:pPr>
              <w:pStyle w:val="BodyText"/>
            </w:pPr>
            <w:r w:rsidRPr="00FA1E09">
              <w:t xml:space="preserve"> </w:t>
            </w:r>
            <w:r>
              <w:t xml:space="preserve">   </w:t>
            </w:r>
            <w:r w:rsidRPr="00FA1E09">
              <w:t xml:space="preserve"> </w:t>
            </w:r>
            <w:r>
              <w:t>388,218</w:t>
            </w:r>
            <w:r w:rsidRPr="00FA1E09">
              <w:t xml:space="preserve"> </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hideMark/>
          </w:tcPr>
          <w:p w:rsidR="002D3F7D" w:rsidRPr="00FA1E09" w:rsidRDefault="002D3F7D" w:rsidP="002D3F7D">
            <w:pPr>
              <w:pStyle w:val="BodyText"/>
            </w:pPr>
            <w:r w:rsidRPr="00FA1E09">
              <w:t>Dakota Creek Bridge No 500</w:t>
            </w:r>
          </w:p>
        </w:tc>
        <w:tc>
          <w:tcPr>
            <w:tcW w:w="1620" w:type="dxa"/>
            <w:noWrap/>
            <w:hideMark/>
          </w:tcPr>
          <w:p w:rsidR="002D3F7D" w:rsidRPr="00FA1E09" w:rsidRDefault="002D3F7D" w:rsidP="002D3F7D">
            <w:pPr>
              <w:pStyle w:val="BodyText"/>
            </w:pPr>
            <w:r w:rsidRPr="00FA1E09">
              <w:t xml:space="preserve">     </w:t>
            </w:r>
            <w:r>
              <w:t>359,860</w:t>
            </w:r>
            <w:r w:rsidRPr="00FA1E09">
              <w:t xml:space="preserve"> </w:t>
            </w:r>
          </w:p>
        </w:tc>
        <w:tc>
          <w:tcPr>
            <w:tcW w:w="2080" w:type="dxa"/>
            <w:noWrap/>
            <w:hideMark/>
          </w:tcPr>
          <w:p w:rsidR="002D3F7D" w:rsidRPr="00FA1E09" w:rsidRDefault="002D3F7D" w:rsidP="002D3F7D">
            <w:pPr>
              <w:pStyle w:val="BodyText"/>
            </w:pPr>
            <w:r w:rsidRPr="00FA1E09">
              <w:t>Transportation</w:t>
            </w:r>
          </w:p>
        </w:tc>
      </w:tr>
      <w:tr w:rsidR="002D3F7D" w:rsidRPr="00FA1E09" w:rsidTr="002D3F7D">
        <w:trPr>
          <w:trHeight w:val="300"/>
        </w:trPr>
        <w:tc>
          <w:tcPr>
            <w:tcW w:w="3460" w:type="dxa"/>
            <w:noWrap/>
            <w:hideMark/>
          </w:tcPr>
          <w:p w:rsidR="002D3F7D" w:rsidRPr="00FA1E09" w:rsidRDefault="002D3F7D" w:rsidP="002D3F7D">
            <w:pPr>
              <w:pStyle w:val="BodyText"/>
            </w:pPr>
            <w:r>
              <w:t>Lake Whatcom Blvd Re-surfacing</w:t>
            </w:r>
          </w:p>
        </w:tc>
        <w:tc>
          <w:tcPr>
            <w:tcW w:w="1620" w:type="dxa"/>
            <w:noWrap/>
            <w:hideMark/>
          </w:tcPr>
          <w:p w:rsidR="002D3F7D" w:rsidRPr="00FA1E09" w:rsidRDefault="002D3F7D" w:rsidP="002D3F7D">
            <w:pPr>
              <w:pStyle w:val="BodyText"/>
            </w:pPr>
            <w:r w:rsidRPr="00FA1E09">
              <w:t xml:space="preserve">  </w:t>
            </w:r>
            <w:r>
              <w:t xml:space="preserve">   993,863</w:t>
            </w:r>
            <w:r w:rsidRPr="00FA1E09">
              <w:t xml:space="preserve"> </w:t>
            </w:r>
          </w:p>
        </w:tc>
        <w:tc>
          <w:tcPr>
            <w:tcW w:w="2080" w:type="dxa"/>
            <w:noWrap/>
            <w:hideMark/>
          </w:tcPr>
          <w:p w:rsidR="002D3F7D" w:rsidRPr="00FA1E09" w:rsidRDefault="002D3F7D" w:rsidP="002D3F7D">
            <w:pPr>
              <w:pStyle w:val="BodyText"/>
            </w:pPr>
            <w:r>
              <w:t>Transportation</w:t>
            </w:r>
          </w:p>
        </w:tc>
      </w:tr>
      <w:tr w:rsidR="002D3F7D" w:rsidRPr="00FA1E09" w:rsidTr="002D3F7D">
        <w:trPr>
          <w:trHeight w:val="300"/>
        </w:trPr>
        <w:tc>
          <w:tcPr>
            <w:tcW w:w="3460" w:type="dxa"/>
            <w:noWrap/>
            <w:hideMark/>
          </w:tcPr>
          <w:p w:rsidR="002D3F7D" w:rsidRPr="00FA1E09" w:rsidRDefault="002D3F7D" w:rsidP="002D3F7D">
            <w:pPr>
              <w:pStyle w:val="BodyText"/>
            </w:pPr>
            <w:proofErr w:type="spellStart"/>
            <w:r>
              <w:t>Hannegan</w:t>
            </w:r>
            <w:proofErr w:type="spellEnd"/>
            <w:r>
              <w:t xml:space="preserve"> Rd Structural Overlay</w:t>
            </w:r>
          </w:p>
        </w:tc>
        <w:tc>
          <w:tcPr>
            <w:tcW w:w="1620" w:type="dxa"/>
            <w:noWrap/>
            <w:hideMark/>
          </w:tcPr>
          <w:p w:rsidR="002D3F7D" w:rsidRPr="00213008" w:rsidRDefault="002D3F7D" w:rsidP="002D3F7D">
            <w:pPr>
              <w:pStyle w:val="BodyText"/>
            </w:pPr>
            <w:r w:rsidRPr="00213008">
              <w:t xml:space="preserve">     595,240 </w:t>
            </w:r>
          </w:p>
        </w:tc>
        <w:tc>
          <w:tcPr>
            <w:tcW w:w="2080" w:type="dxa"/>
            <w:noWrap/>
            <w:hideMark/>
          </w:tcPr>
          <w:p w:rsidR="002D3F7D" w:rsidRPr="00FA1E09" w:rsidRDefault="002D3F7D" w:rsidP="002D3F7D">
            <w:pPr>
              <w:pStyle w:val="BodyText"/>
            </w:pPr>
            <w:r>
              <w:t>Transportation</w:t>
            </w:r>
          </w:p>
        </w:tc>
      </w:tr>
      <w:tr w:rsidR="002D3F7D" w:rsidRPr="00FA1E09" w:rsidTr="002D3F7D">
        <w:trPr>
          <w:trHeight w:val="323"/>
        </w:trPr>
        <w:tc>
          <w:tcPr>
            <w:tcW w:w="3460" w:type="dxa"/>
            <w:noWrap/>
          </w:tcPr>
          <w:p w:rsidR="002D3F7D" w:rsidRPr="00213008" w:rsidRDefault="002D3F7D" w:rsidP="002D3F7D">
            <w:pPr>
              <w:pStyle w:val="BodyText"/>
              <w:rPr>
                <w:bCs/>
              </w:rPr>
            </w:pPr>
            <w:r w:rsidRPr="00213008">
              <w:rPr>
                <w:bCs/>
              </w:rPr>
              <w:t>Academy Rd Stormwater</w:t>
            </w:r>
          </w:p>
        </w:tc>
        <w:tc>
          <w:tcPr>
            <w:tcW w:w="1620" w:type="dxa"/>
            <w:noWrap/>
          </w:tcPr>
          <w:p w:rsidR="002D3F7D" w:rsidRPr="00213008" w:rsidRDefault="002D3F7D" w:rsidP="002D3F7D">
            <w:pPr>
              <w:pStyle w:val="BodyText"/>
              <w:rPr>
                <w:u w:val="single"/>
              </w:rPr>
            </w:pPr>
            <w:r>
              <w:rPr>
                <w:u w:val="single"/>
              </w:rPr>
              <w:t xml:space="preserve">     107,107</w:t>
            </w:r>
          </w:p>
        </w:tc>
        <w:tc>
          <w:tcPr>
            <w:tcW w:w="2080" w:type="dxa"/>
            <w:noWrap/>
          </w:tcPr>
          <w:p w:rsidR="002D3F7D" w:rsidRPr="00FA1E09" w:rsidRDefault="002D3F7D" w:rsidP="002D3F7D">
            <w:pPr>
              <w:pStyle w:val="BodyText"/>
            </w:pPr>
            <w:r>
              <w:t>Stormwater</w:t>
            </w:r>
          </w:p>
        </w:tc>
      </w:tr>
      <w:tr w:rsidR="002D3F7D" w:rsidRPr="00FA1E09" w:rsidTr="002D3F7D">
        <w:trPr>
          <w:trHeight w:val="315"/>
        </w:trPr>
        <w:tc>
          <w:tcPr>
            <w:tcW w:w="3460" w:type="dxa"/>
            <w:noWrap/>
            <w:hideMark/>
          </w:tcPr>
          <w:p w:rsidR="002D3F7D" w:rsidRPr="00FA1E09" w:rsidRDefault="002D3F7D" w:rsidP="002D3F7D">
            <w:pPr>
              <w:pStyle w:val="BodyText"/>
              <w:rPr>
                <w:b/>
                <w:bCs/>
              </w:rPr>
            </w:pPr>
            <w:r w:rsidRPr="00FA1E09">
              <w:rPr>
                <w:b/>
                <w:bCs/>
              </w:rPr>
              <w:t xml:space="preserve">   Totals</w:t>
            </w:r>
          </w:p>
        </w:tc>
        <w:tc>
          <w:tcPr>
            <w:tcW w:w="1620" w:type="dxa"/>
            <w:noWrap/>
            <w:hideMark/>
          </w:tcPr>
          <w:p w:rsidR="002D3F7D" w:rsidRPr="00FA1E09" w:rsidRDefault="002D3F7D" w:rsidP="002D3F7D">
            <w:pPr>
              <w:pStyle w:val="BodyText"/>
              <w:rPr>
                <w:u w:val="double"/>
              </w:rPr>
            </w:pPr>
            <w:r w:rsidRPr="00FA1E09">
              <w:rPr>
                <w:u w:val="double"/>
              </w:rPr>
              <w:t xml:space="preserve"> </w:t>
            </w:r>
            <w:r>
              <w:rPr>
                <w:u w:val="double"/>
              </w:rPr>
              <w:t>37,192,797</w:t>
            </w:r>
          </w:p>
        </w:tc>
        <w:tc>
          <w:tcPr>
            <w:tcW w:w="2080" w:type="dxa"/>
            <w:noWrap/>
            <w:hideMark/>
          </w:tcPr>
          <w:p w:rsidR="002D3F7D" w:rsidRPr="00FA1E09" w:rsidRDefault="002D3F7D" w:rsidP="002D3F7D">
            <w:pPr>
              <w:pStyle w:val="BodyText"/>
            </w:pPr>
          </w:p>
        </w:tc>
      </w:tr>
    </w:tbl>
    <w:p w:rsidR="002D3F7D" w:rsidRPr="00842BCE" w:rsidRDefault="002D3F7D" w:rsidP="002D3F7D">
      <w:pPr>
        <w:pStyle w:val="Heading2"/>
      </w:pPr>
      <w:r>
        <w:lastRenderedPageBreak/>
        <w:fldChar w:fldCharType="end"/>
      </w:r>
      <w:bookmarkStart w:id="84" w:name="_Toc245621825"/>
      <w:r w:rsidRPr="00842BCE">
        <w:t>Six-Year Funding Balance</w:t>
      </w:r>
      <w:bookmarkEnd w:id="84"/>
      <w:r w:rsidRPr="00842BCE">
        <w:t xml:space="preserve"> </w:t>
      </w:r>
    </w:p>
    <w:p w:rsidR="002D3F7D" w:rsidRPr="00D04100" w:rsidRDefault="002D3F7D" w:rsidP="002D3F7D">
      <w:pPr>
        <w:pStyle w:val="BodyText"/>
      </w:pPr>
      <w:r w:rsidRPr="009536CB">
        <w:t xml:space="preserve">Estimated revenues from </w:t>
      </w:r>
      <w:r>
        <w:t>transportation</w:t>
      </w:r>
      <w:r w:rsidRPr="009536CB">
        <w:t xml:space="preserve"> sources within the six-year time period (201</w:t>
      </w:r>
      <w:r>
        <w:t>7</w:t>
      </w:r>
      <w:r w:rsidRPr="009536CB">
        <w:t>-20</w:t>
      </w:r>
      <w:r>
        <w:t>22</w:t>
      </w:r>
      <w:r w:rsidRPr="009536CB">
        <w:t xml:space="preserve">) have been compared to capital project </w:t>
      </w:r>
      <w:r w:rsidRPr="00D04100">
        <w:t>costs</w:t>
      </w:r>
      <w:r>
        <w:t>.</w:t>
      </w:r>
      <w:r w:rsidRPr="00D04100">
        <w:t xml:space="preserve"> </w:t>
      </w:r>
      <w:r>
        <w:t xml:space="preserve"> The six year Capital Improvement Plan includes $48,708,185 of capital costs and this study presents $45,348,483 of potential revenues plus $18.2 million of available transportation fund balances.</w:t>
      </w:r>
      <w:r w:rsidRPr="00D04100">
        <w:t xml:space="preserve"> </w:t>
      </w:r>
      <w:r>
        <w:t xml:space="preserve"> </w:t>
      </w:r>
    </w:p>
    <w:p w:rsidR="002D3F7D" w:rsidRDefault="002D3F7D" w:rsidP="002D3F7D">
      <w:pPr>
        <w:pStyle w:val="BodyText"/>
      </w:pPr>
      <w:r>
        <w:t>Parks and stormwater capital improvement requests over the next six years total $10,099,000.  Funding sources, including grants, REET II, and available fund balance amounts total $17,120,521.  In addition, Birch Bay Watershed and Aquatic Resources Management (BBWARM) District, which is an entity separate from Whatcom County, is requesting to use a small amount of REET II funding for their projects.  Their projects over the six year period total $3,015,000.  They are requesting $40,000 of REET II from available fund balance amounts.  The District’s own funding sources will cover the other $2,975,000.</w:t>
      </w:r>
    </w:p>
    <w:p w:rsidR="002D3F7D" w:rsidRDefault="002D3F7D" w:rsidP="002D3F7D">
      <w:pPr>
        <w:pStyle w:val="BodyText"/>
      </w:pPr>
      <w:r>
        <w:t xml:space="preserve">New sheriff’s office facilities are estimated at $19,040,000 to be financed by non-voted bonds and paid back from General Fund sources.  New jail facilities are estimated at $112,000,000 to be financed by non-voted bonds and paid back from new voter-approved sales taxes.  The County’s current non-voted debt capacity is $365 million. </w:t>
      </w:r>
    </w:p>
    <w:p w:rsidR="002D3F7D" w:rsidRDefault="002D3F7D" w:rsidP="002D3F7D">
      <w:pPr>
        <w:pStyle w:val="BodyText"/>
      </w:pPr>
      <w:r w:rsidRPr="009536CB">
        <w:t xml:space="preserve">Regarding </w:t>
      </w:r>
      <w:r>
        <w:t xml:space="preserve">other </w:t>
      </w:r>
      <w:r w:rsidRPr="009536CB">
        <w:t xml:space="preserve">general capital facilities, </w:t>
      </w:r>
      <w:r>
        <w:t xml:space="preserve">sources over the 2017-2022 Capital Improvement Plan period total $35,103,842 whereas needs total $26,622,563.  </w:t>
      </w:r>
    </w:p>
    <w:p w:rsidR="002D3F7D" w:rsidRPr="00D22873" w:rsidRDefault="00E12B2B" w:rsidP="002D3F7D">
      <w:pPr>
        <w:pStyle w:val="Caption"/>
      </w:pPr>
      <w:r>
        <w:t>Table 16-</w:t>
      </w:r>
      <w:r w:rsidR="002D3F7D">
        <w:t>15</w:t>
      </w:r>
      <w:r w:rsidR="002D3F7D" w:rsidRPr="00D22873">
        <w:t>.</w:t>
      </w:r>
      <w:r w:rsidR="002D3F7D" w:rsidRPr="00D22873">
        <w:tab/>
      </w:r>
      <w:r w:rsidR="002D3F7D">
        <w:t>2017 – 2022 Revenues Available to Fund the Six Year CIP</w:t>
      </w:r>
    </w:p>
    <w:p w:rsidR="002D3F7D" w:rsidRPr="00B72BD6" w:rsidRDefault="002D3F7D" w:rsidP="002D3F7D">
      <w:pPr>
        <w:pStyle w:val="BodyText"/>
      </w:pPr>
      <w:r w:rsidRPr="00504974">
        <w:rPr>
          <w:noProof/>
        </w:rPr>
        <w:drawing>
          <wp:inline distT="0" distB="0" distL="0" distR="0" wp14:anchorId="70A5268A" wp14:editId="0AC473F2">
            <wp:extent cx="6238875" cy="13430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38875" cy="1343025"/>
                    </a:xfrm>
                    <a:prstGeom prst="rect">
                      <a:avLst/>
                    </a:prstGeom>
                    <a:noFill/>
                    <a:ln>
                      <a:noFill/>
                    </a:ln>
                  </pic:spPr>
                </pic:pic>
              </a:graphicData>
            </a:graphic>
          </wp:inline>
        </w:drawing>
      </w:r>
    </w:p>
    <w:p w:rsidR="002D3F7D" w:rsidRPr="0042161B" w:rsidRDefault="002D3F7D" w:rsidP="002D3F7D">
      <w:pPr>
        <w:pStyle w:val="Heading2"/>
      </w:pPr>
      <w:bookmarkStart w:id="85" w:name="_Toc245621827"/>
      <w:r w:rsidRPr="0042161B">
        <w:t>Economic Development Planning</w:t>
      </w:r>
      <w:bookmarkEnd w:id="85"/>
    </w:p>
    <w:p w:rsidR="002D3F7D" w:rsidRPr="0084675A" w:rsidRDefault="002D3F7D" w:rsidP="002D3F7D">
      <w:pPr>
        <w:pStyle w:val="BodyText"/>
      </w:pPr>
      <w:r w:rsidRPr="0042161B">
        <w:t>In addition to this CFP and the County’s Comprehensive Plan Economic Element, the County has also engaged in a</w:t>
      </w:r>
      <w:r>
        <w:t>n</w:t>
      </w:r>
      <w:r w:rsidRPr="0042161B">
        <w:t xml:space="preserve"> </w:t>
      </w:r>
      <w:r>
        <w:t>e</w:t>
      </w:r>
      <w:r w:rsidRPr="0042161B">
        <w:t xml:space="preserve">conomic </w:t>
      </w:r>
      <w:r>
        <w:t>d</w:t>
      </w:r>
      <w:r w:rsidRPr="0042161B">
        <w:t xml:space="preserve">evelopment </w:t>
      </w:r>
      <w:r>
        <w:t>s</w:t>
      </w:r>
      <w:r w:rsidRPr="0042161B">
        <w:t xml:space="preserve">trategy through the Economic Development Investment (EDI) Program.  The program plans for and funds infrastructure including but not limited to roads, bridges, water facilities, sanitary sewer facilities, and storm sewer facilities.  </w:t>
      </w:r>
      <w:r>
        <w:t>E</w:t>
      </w:r>
      <w:r w:rsidRPr="0042161B">
        <w:t>conomic development planning effort</w:t>
      </w:r>
      <w:r>
        <w:t>s also</w:t>
      </w:r>
      <w:r w:rsidRPr="0042161B">
        <w:t xml:space="preserve"> resulted in a report entitled the Whatcom </w:t>
      </w:r>
      <w:r>
        <w:t xml:space="preserve">County </w:t>
      </w:r>
      <w:r w:rsidRPr="0042161B">
        <w:t xml:space="preserve">Comprehensive Economic Development Strategy (CEDS) </w:t>
      </w:r>
      <w:r>
        <w:t xml:space="preserve">(March 2015) </w:t>
      </w:r>
      <w:r w:rsidRPr="0042161B">
        <w:t xml:space="preserve">which identifies goals and strategies for growing the Whatcom County economy without sacrificing its natural assets.  The </w:t>
      </w:r>
      <w:r>
        <w:t>CEDS</w:t>
      </w:r>
      <w:r w:rsidRPr="0042161B">
        <w:t xml:space="preserve"> identifies and prioritizes actions for achieving its goals.  It also identifies projects, including their cost and potential funding sources, that are needed to help the County achieve its economic development goals.  </w:t>
      </w:r>
      <w:r>
        <w:t xml:space="preserve">Executive recommendations adopted by the County Council designate 70% of the Rural </w:t>
      </w:r>
      <w:r>
        <w:lastRenderedPageBreak/>
        <w:t>Counties Public Facility Tax be set aside for economic development loans and grants to governmental entities throughout the county</w:t>
      </w:r>
      <w:r w:rsidR="003623E3">
        <w:t>.</w:t>
      </w:r>
    </w:p>
    <w:p w:rsidR="002D3F7D" w:rsidRDefault="002D3F7D">
      <w:pPr>
        <w:pStyle w:val="TableTitle"/>
      </w:pPr>
    </w:p>
    <w:p w:rsidR="009F2B4F" w:rsidRDefault="009F2B4F">
      <w:pPr>
        <w:pStyle w:val="TableTitle"/>
      </w:pPr>
    </w:p>
    <w:p w:rsidR="009F2B4F" w:rsidRDefault="009F2B4F">
      <w:pPr>
        <w:pStyle w:val="TableTitle"/>
      </w:pPr>
    </w:p>
    <w:p w:rsidR="00971144" w:rsidRDefault="009F2B4F">
      <w:pPr>
        <w:pStyle w:val="TableTitle"/>
      </w:pPr>
      <w:r>
        <w:t>NOTE</w:t>
      </w:r>
      <w:r w:rsidR="00971144">
        <w:t>S</w:t>
      </w:r>
      <w:r>
        <w:t xml:space="preserve">: </w:t>
      </w:r>
    </w:p>
    <w:p w:rsidR="00971144" w:rsidRDefault="005F0A77" w:rsidP="00971144">
      <w:pPr>
        <w:pStyle w:val="TableTitle"/>
        <w:numPr>
          <w:ilvl w:val="0"/>
          <w:numId w:val="46"/>
        </w:numPr>
      </w:pPr>
      <w:r>
        <w:t xml:space="preserve">This draft </w:t>
      </w:r>
      <w:r w:rsidR="00971144">
        <w:t>Whatcom County 20-Year Capital Facilities Plan will continue to be updated, as city and special district plans are updated and submitted to the County.</w:t>
      </w:r>
    </w:p>
    <w:p w:rsidR="009F2B4F" w:rsidRDefault="009F2B4F" w:rsidP="00971144">
      <w:pPr>
        <w:pStyle w:val="TableTitle"/>
        <w:numPr>
          <w:ilvl w:val="0"/>
          <w:numId w:val="46"/>
        </w:numPr>
        <w:sectPr w:rsidR="009F2B4F" w:rsidSect="00C5689C">
          <w:headerReference w:type="even" r:id="rId43"/>
          <w:headerReference w:type="default" r:id="rId44"/>
          <w:footerReference w:type="default" r:id="rId45"/>
          <w:headerReference w:type="first" r:id="rId46"/>
          <w:pgSz w:w="12240" w:h="15840" w:code="1"/>
          <w:pgMar w:top="1440" w:right="1627" w:bottom="1440" w:left="1800" w:header="720" w:footer="720" w:gutter="0"/>
          <w:cols w:space="720"/>
          <w:docGrid w:linePitch="360"/>
        </w:sectPr>
      </w:pPr>
      <w:r>
        <w:t>The existing Whatcom County 20-Year Capital Faciliti</w:t>
      </w:r>
      <w:r w:rsidR="00971144">
        <w:t xml:space="preserve">es Plan will be repealed in its </w:t>
      </w:r>
      <w:r w:rsidR="000D29A3">
        <w:t>entirety.</w:t>
      </w:r>
    </w:p>
    <w:p w:rsidR="003F5BC7" w:rsidRDefault="003F5BC7" w:rsidP="006220C5">
      <w:pPr>
        <w:pStyle w:val="BodyText"/>
      </w:pPr>
    </w:p>
    <w:sectPr w:rsidR="003F5BC7" w:rsidSect="008D0C26">
      <w:headerReference w:type="even" r:id="rId47"/>
      <w:headerReference w:type="default" r:id="rId48"/>
      <w:headerReference w:type="first" r:id="rId49"/>
      <w:footerReference w:type="first" r:id="rId50"/>
      <w:type w:val="oddPage"/>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50" w:rsidRDefault="001C0650">
      <w:pPr>
        <w:spacing w:before="0" w:after="0"/>
      </w:pPr>
      <w:r>
        <w:separator/>
      </w:r>
    </w:p>
  </w:endnote>
  <w:endnote w:type="continuationSeparator" w:id="0">
    <w:p w:rsidR="001C0650" w:rsidRDefault="001C06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ormata Light">
    <w:altName w:val="Courier New"/>
    <w:panose1 w:val="00000000000000000000"/>
    <w:charset w:val="00"/>
    <w:family w:val="swiss"/>
    <w:notTrueType/>
    <w:pitch w:val="variable"/>
    <w:sig w:usb0="00000003" w:usb1="00000000" w:usb2="00000000" w:usb3="00000000" w:csb0="00000001"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87184A" w:rsidRDefault="001C0650" w:rsidP="00C91511">
    <w:pPr>
      <w:pStyle w:val="Footer"/>
    </w:pPr>
    <w:r>
      <w:rPr>
        <w:noProof/>
      </w:rPr>
      <mc:AlternateContent>
        <mc:Choice Requires="wps">
          <w:drawing>
            <wp:anchor distT="0" distB="0" distL="114300" distR="114300" simplePos="0" relativeHeight="251708928" behindDoc="0" locked="1" layoutInCell="1" allowOverlap="1" wp14:anchorId="36892C6D" wp14:editId="477A27D7">
              <wp:simplePos x="0" y="0"/>
              <wp:positionH relativeFrom="margin">
                <wp:align>center</wp:align>
              </wp:positionH>
              <wp:positionV relativeFrom="page">
                <wp:posOffset>9336405</wp:posOffset>
              </wp:positionV>
              <wp:extent cx="411480" cy="182880"/>
              <wp:effectExtent l="13335" t="11430" r="13335" b="5715"/>
              <wp:wrapSquare wrapText="bothSides"/>
              <wp:docPr id="7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7" type="#_x0000_t202" style="position:absolute;margin-left:0;margin-top:735.15pt;width:32.4pt;height:14.4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" strokecolor="#036" strokeweight=".5pt">
              <v:textbox inset="1.44pt,1.44pt,1.44pt,1.44pt">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xbxContent>
              </v:textbox>
              <w10:wrap type="square"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87184A" w:rsidRDefault="001C0650" w:rsidP="00C91511">
    <w:pPr>
      <w:pStyle w:val="Footer"/>
      <w:tabs>
        <w:tab w:val="clear" w:pos="7560"/>
        <w:tab w:val="right" w:pos="8640"/>
      </w:tabs>
      <w:jc w:val="right"/>
    </w:pPr>
    <w:r>
      <w:rPr>
        <w:noProof/>
        <w:sz w:val="20"/>
      </w:rPr>
      <mc:AlternateContent>
        <mc:Choice Requires="wps">
          <w:drawing>
            <wp:anchor distT="0" distB="0" distL="114300" distR="114300" simplePos="0" relativeHeight="251709952" behindDoc="0" locked="1" layoutInCell="1" allowOverlap="1" wp14:anchorId="34573F91" wp14:editId="122E7D10">
              <wp:simplePos x="0" y="0"/>
              <wp:positionH relativeFrom="margin">
                <wp:align>center</wp:align>
              </wp:positionH>
              <wp:positionV relativeFrom="page">
                <wp:posOffset>9337040</wp:posOffset>
              </wp:positionV>
              <wp:extent cx="411480" cy="182880"/>
              <wp:effectExtent l="9525" t="12065" r="7620" b="5080"/>
              <wp:wrapSquare wrapText="bothSides"/>
              <wp:docPr id="7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18</w:t>
                          </w:r>
                          <w:r>
                            <w:rPr>
                              <w:rStyle w:val="PageNumber"/>
                            </w:rPr>
                            <w:fldChar w:fldCharType="end"/>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8" type="#_x0000_t202" style="position:absolute;left:0;text-align:left;margin-left:0;margin-top:735.2pt;width:32.4pt;height:14.4pt;z-index:251709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" strokecolor="#036" strokeweight=".5pt">
              <v:textbox inset="1.44pt,1.44pt,1.44pt,1.44pt">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18</w:t>
                    </w:r>
                    <w:r>
                      <w:rPr>
                        <w:rStyle w:val="PageNumber"/>
                      </w:rPr>
                      <w:fldChar w:fldCharType="end"/>
                    </w:r>
                  </w:p>
                </w:txbxContent>
              </v:textbox>
              <w10:wrap type="square"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87184A" w:rsidRDefault="001C0650" w:rsidP="00C91511">
    <w:pPr>
      <w:pStyle w:val="Footer"/>
    </w:pPr>
    <w:r>
      <w:rPr>
        <w:noProof/>
      </w:rPr>
      <mc:AlternateContent>
        <mc:Choice Requires="wps">
          <w:drawing>
            <wp:anchor distT="0" distB="0" distL="114300" distR="114300" simplePos="0" relativeHeight="251712000" behindDoc="0" locked="1" layoutInCell="1" allowOverlap="1" wp14:anchorId="337DB0B2" wp14:editId="77F0760D">
              <wp:simplePos x="0" y="0"/>
              <wp:positionH relativeFrom="margin">
                <wp:posOffset>4061460</wp:posOffset>
              </wp:positionH>
              <wp:positionV relativeFrom="page">
                <wp:posOffset>7068820</wp:posOffset>
              </wp:positionV>
              <wp:extent cx="411480" cy="182880"/>
              <wp:effectExtent l="13335" t="10795" r="13335" b="6350"/>
              <wp:wrapNone/>
              <wp:docPr id="7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29" type="#_x0000_t202" style="position:absolute;margin-left:319.8pt;margin-top:556.6pt;width:32.4pt;height:14.4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" strokecolor="#036" strokeweight=".5pt">
              <v:textbox inset="1.44pt,1.44pt,1.44pt,1.44pt">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xbxContent>
              </v:textbox>
              <w10:wrap anchorx="margin" anchory="page"/>
              <w10:anchorlock/>
            </v:shape>
          </w:pict>
        </mc:Fallback>
      </mc:AlternateContent>
    </w:r>
    <w:r>
      <w:rPr>
        <w:noProof/>
      </w:rPr>
      <mc:AlternateContent>
        <mc:Choice Requires="wps">
          <w:drawing>
            <wp:anchor distT="0" distB="0" distL="114300" distR="114300" simplePos="0" relativeHeight="251710976" behindDoc="0" locked="1" layoutInCell="1" allowOverlap="1" wp14:anchorId="5EEDC54F" wp14:editId="62B759D0">
              <wp:simplePos x="0" y="0"/>
              <wp:positionH relativeFrom="margin">
                <wp:posOffset>2308860</wp:posOffset>
              </wp:positionH>
              <wp:positionV relativeFrom="page">
                <wp:posOffset>9336405</wp:posOffset>
              </wp:positionV>
              <wp:extent cx="411480" cy="182880"/>
              <wp:effectExtent l="13335" t="11430" r="13335" b="5715"/>
              <wp:wrapSquare wrapText="bothSides"/>
              <wp:docPr id="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30" type="#_x0000_t202" style="position:absolute;margin-left:181.8pt;margin-top:735.15pt;width:32.4pt;height:14.4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" strokecolor="#036" strokeweight=".5pt">
              <v:textbox inset="3.6pt,,3.6pt">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xbxContent>
              </v:textbox>
              <w10:wrap type="square" anchorx="margin"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925B94" w:rsidRDefault="001C0650" w:rsidP="00C91511">
    <w:pPr>
      <w:pStyle w:val="Footerlandscape"/>
    </w:pPr>
    <w:r>
      <w:rPr>
        <w:noProof/>
        <w:sz w:val="20"/>
      </w:rPr>
      <mc:AlternateContent>
        <mc:Choice Requires="wps">
          <w:drawing>
            <wp:anchor distT="0" distB="0" distL="114300" distR="114300" simplePos="0" relativeHeight="251714048" behindDoc="0" locked="1" layoutInCell="1" allowOverlap="1" wp14:anchorId="2EFD72E8" wp14:editId="4C2DE8CD">
              <wp:simplePos x="0" y="0"/>
              <wp:positionH relativeFrom="margin">
                <wp:posOffset>3909060</wp:posOffset>
              </wp:positionH>
              <wp:positionV relativeFrom="page">
                <wp:posOffset>7051675</wp:posOffset>
              </wp:positionV>
              <wp:extent cx="411480" cy="182880"/>
              <wp:effectExtent l="13335" t="12700" r="13335" b="13970"/>
              <wp:wrapNone/>
              <wp:docPr id="8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Pr="00CC11AF" w:rsidRDefault="001C0650" w:rsidP="00C91511">
                          <w:pPr>
                            <w:spacing w:before="0" w:after="0"/>
                            <w:jc w:val="center"/>
                            <w:rPr>
                              <w:rStyle w:val="PageNumber"/>
                            </w:rPr>
                          </w:pPr>
                          <w:r w:rsidRPr="00CC11AF">
                            <w:rPr>
                              <w:rStyle w:val="PageNumber"/>
                            </w:rPr>
                            <w:fldChar w:fldCharType="begin"/>
                          </w:r>
                          <w:r w:rsidRPr="00CC11AF">
                            <w:rPr>
                              <w:rStyle w:val="PageNumber"/>
                            </w:rPr>
                            <w:instrText xml:space="preserve"> PAGE </w:instrText>
                          </w:r>
                          <w:r w:rsidRPr="00CC11AF">
                            <w:rPr>
                              <w:rStyle w:val="PageNumber"/>
                            </w:rPr>
                            <w:fldChar w:fldCharType="separate"/>
                          </w:r>
                          <w:r w:rsidR="00295883">
                            <w:rPr>
                              <w:rStyle w:val="PageNumber"/>
                              <w:noProof/>
                            </w:rPr>
                            <w:t>22</w:t>
                          </w:r>
                          <w:r w:rsidRPr="00CC11AF">
                            <w:rPr>
                              <w:rStyle w:val="PageNumber"/>
                            </w:rPr>
                            <w:fldChar w:fldCharType="end"/>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31" type="#_x0000_t202" style="position:absolute;margin-left:307.8pt;margin-top:555.25pt;width:32.4pt;height:14.4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" strokecolor="#036" strokeweight=".5pt">
              <v:textbox inset="1.44pt,1.44pt,1.44pt,1.44pt">
                <w:txbxContent>
                  <w:p w:rsidR="001C0650" w:rsidRPr="00CC11AF" w:rsidRDefault="001C0650" w:rsidP="00C91511">
                    <w:pPr>
                      <w:spacing w:before="0" w:after="0"/>
                      <w:jc w:val="center"/>
                      <w:rPr>
                        <w:rStyle w:val="PageNumber"/>
                      </w:rPr>
                    </w:pPr>
                    <w:r w:rsidRPr="00CC11AF">
                      <w:rPr>
                        <w:rStyle w:val="PageNumber"/>
                      </w:rPr>
                      <w:fldChar w:fldCharType="begin"/>
                    </w:r>
                    <w:r w:rsidRPr="00CC11AF">
                      <w:rPr>
                        <w:rStyle w:val="PageNumber"/>
                      </w:rPr>
                      <w:instrText xml:space="preserve"> PAGE </w:instrText>
                    </w:r>
                    <w:r w:rsidRPr="00CC11AF">
                      <w:rPr>
                        <w:rStyle w:val="PageNumber"/>
                      </w:rPr>
                      <w:fldChar w:fldCharType="separate"/>
                    </w:r>
                    <w:r w:rsidR="00295883">
                      <w:rPr>
                        <w:rStyle w:val="PageNumber"/>
                        <w:noProof/>
                      </w:rPr>
                      <w:t>22</w:t>
                    </w:r>
                    <w:r w:rsidRPr="00CC11AF">
                      <w:rPr>
                        <w:rStyle w:val="PageNumber"/>
                      </w:rPr>
                      <w:fldChar w:fldCharType="end"/>
                    </w:r>
                  </w:p>
                </w:txbxContent>
              </v:textbox>
              <w10:wrap anchorx="margin" anchory="page"/>
              <w10:anchorlock/>
            </v:shape>
          </w:pict>
        </mc:Fallback>
      </mc:AlternateContent>
    </w:r>
    <w:r>
      <w:rPr>
        <w:noProof/>
        <w:sz w:val="20"/>
      </w:rPr>
      <mc:AlternateContent>
        <mc:Choice Requires="wps">
          <w:drawing>
            <wp:anchor distT="0" distB="0" distL="114300" distR="114300" simplePos="0" relativeHeight="251713024" behindDoc="0" locked="1" layoutInCell="1" allowOverlap="1" wp14:anchorId="1848D4FF" wp14:editId="3D1FE9EB">
              <wp:simplePos x="0" y="0"/>
              <wp:positionH relativeFrom="margin">
                <wp:align>center</wp:align>
              </wp:positionH>
              <wp:positionV relativeFrom="page">
                <wp:posOffset>9335770</wp:posOffset>
              </wp:positionV>
              <wp:extent cx="411480" cy="182880"/>
              <wp:effectExtent l="9525" t="10795" r="7620" b="6350"/>
              <wp:wrapNone/>
              <wp:docPr id="8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22</w:t>
                          </w:r>
                          <w:r>
                            <w:rPr>
                              <w:rStyle w:val="PageNumber"/>
                            </w:rPr>
                            <w:fldChar w:fldCharType="end"/>
                          </w:r>
                        </w:p>
                      </w:txbxContent>
                    </wps:txbx>
                    <wps:bodyPr rot="0" vert="horz" wrap="square" lIns="18288" tIns="27432"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2" type="#_x0000_t202" style="position:absolute;margin-left:0;margin-top:735.1pt;width:32.4pt;height:14.4pt;z-index:251713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PwLgIAAFkEAAAOAAAAZHJzL2Uyb0RvYy54bWysVNtu2zAMfR+wfxD0vviSN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" strokecolor="#036" strokeweight=".5pt">
              <v:textbox inset="1.44pt,2.16pt,1.44pt,1.44pt">
                <w:txbxContent>
                  <w:p w:rsidR="001C0650" w:rsidRDefault="001C0650" w:rsidP="00C91511">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22</w:t>
                    </w:r>
                    <w:r>
                      <w:rPr>
                        <w:rStyle w:val="PageNumber"/>
                      </w:rPr>
                      <w:fldChar w:fldCharType="end"/>
                    </w:r>
                  </w:p>
                </w:txbxContent>
              </v:textbox>
              <w10:wrap anchorx="margin" anchory="page"/>
              <w10:anchorlock/>
            </v:shape>
          </w:pict>
        </mc:Fallback>
      </mc:AlternateContent>
    </w:r>
    <w:r>
      <w:tab/>
      <w:t>February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494152" w:rsidRDefault="001C0650" w:rsidP="00494152">
    <w:pPr>
      <w:pStyle w:val="Footer"/>
      <w:tabs>
        <w:tab w:val="clear" w:pos="7560"/>
        <w:tab w:val="right" w:pos="8640"/>
      </w:tabs>
      <w:jc w:val="right"/>
    </w:pPr>
    <w:r>
      <w:rPr>
        <w:noProof/>
        <w:sz w:val="20"/>
      </w:rPr>
      <mc:AlternateContent>
        <mc:Choice Requires="wps">
          <w:drawing>
            <wp:anchor distT="0" distB="0" distL="114300" distR="114300" simplePos="0" relativeHeight="251666944" behindDoc="0" locked="1" layoutInCell="1" allowOverlap="1" wp14:anchorId="0906CA16" wp14:editId="64835B19">
              <wp:simplePos x="0" y="0"/>
              <wp:positionH relativeFrom="margin">
                <wp:align>center</wp:align>
              </wp:positionH>
              <wp:positionV relativeFrom="page">
                <wp:posOffset>9337040</wp:posOffset>
              </wp:positionV>
              <wp:extent cx="411480" cy="182880"/>
              <wp:effectExtent l="9525" t="12065" r="7620" b="5080"/>
              <wp:wrapSquare wrapText="bothSides"/>
              <wp:docPr id="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2880"/>
                      </a:xfrm>
                      <a:prstGeom prst="rect">
                        <a:avLst/>
                      </a:prstGeom>
                      <a:solidFill>
                        <a:srgbClr val="FFFFFF"/>
                      </a:solidFill>
                      <a:ln w="6350">
                        <a:solidFill>
                          <a:srgbClr val="003366"/>
                        </a:solidFill>
                        <a:miter lim="800000"/>
                        <a:headEnd/>
                        <a:tailEnd/>
                      </a:ln>
                    </wps:spPr>
                    <wps:txbx>
                      <w:txbxContent>
                        <w:p w:rsidR="001C0650" w:rsidRDefault="001C0650" w:rsidP="00494152">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65</w:t>
                          </w:r>
                          <w:r>
                            <w:rPr>
                              <w:rStyle w:val="PageNumber"/>
                            </w:rPr>
                            <w:fldChar w:fldCharType="end"/>
                          </w:r>
                        </w:p>
                      </w:txbxContent>
                    </wps:txbx>
                    <wps:bodyPr rot="0" vert="horz" wrap="square" lIns="45720" tIns="45720" rIns="4572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6" o:spid="_x0000_s1033" type="#_x0000_t202" style="position:absolute;left:0;text-align:left;margin-left:0;margin-top:735.2pt;width:32.4pt;height:14.4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" strokecolor="#036" strokeweight=".5pt">
              <v:textbox inset="3.6pt,,3.6pt,2.16pt">
                <w:txbxContent>
                  <w:p w:rsidR="001C0650" w:rsidRDefault="001C0650" w:rsidP="00494152">
                    <w:pPr>
                      <w:spacing w:before="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95883">
                      <w:rPr>
                        <w:rStyle w:val="PageNumber"/>
                        <w:noProof/>
                      </w:rPr>
                      <w:t>65</w:t>
                    </w:r>
                    <w:r>
                      <w:rPr>
                        <w:rStyle w:val="PageNumber"/>
                      </w:rPr>
                      <w:fldChar w:fldCharType="end"/>
                    </w:r>
                  </w:p>
                </w:txbxContent>
              </v:textbox>
              <w10:wrap type="square" anchorx="margin" anchory="pag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Pr="00494152" w:rsidRDefault="001C0650" w:rsidP="004941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50" w:rsidRDefault="001C0650">
      <w:pPr>
        <w:spacing w:before="0" w:after="0"/>
      </w:pPr>
      <w:r>
        <w:separator/>
      </w:r>
    </w:p>
  </w:footnote>
  <w:footnote w:type="continuationSeparator" w:id="0">
    <w:p w:rsidR="001C0650" w:rsidRDefault="001C0650">
      <w:pPr>
        <w:spacing w:before="0" w:after="0"/>
      </w:pPr>
      <w:r>
        <w:continuationSeparator/>
      </w:r>
    </w:p>
  </w:footnote>
  <w:footnote w:id="1">
    <w:p w:rsidR="001C0650" w:rsidRDefault="001C0650" w:rsidP="002D3F7D">
      <w:pPr>
        <w:pStyle w:val="FootnoteText"/>
      </w:pPr>
      <w:r>
        <w:rPr>
          <w:rStyle w:val="FootnoteReference"/>
        </w:rPr>
        <w:footnoteRef/>
      </w:r>
      <w:r>
        <w:t xml:space="preserve"> The revenue estimates are not intended to be precise forecasts. Exact funding levels are difficult to predict given the uncertainties of funding sources. The estimates discussed in this section are to be used for planning purposes; actual revenues are highly sensitive to local, state, and federal policy decisions; personal choices of residents; economic cycles and other market forces.</w:t>
      </w:r>
    </w:p>
  </w:footnote>
  <w:footnote w:id="2">
    <w:p w:rsidR="001C0650" w:rsidRDefault="001C0650" w:rsidP="002D3F7D">
      <w:pPr>
        <w:pStyle w:val="FootnoteText"/>
      </w:pPr>
      <w:r>
        <w:rPr>
          <w:rStyle w:val="FootnoteReference"/>
        </w:rPr>
        <w:footnoteRef/>
      </w:r>
      <w:r>
        <w:t xml:space="preserve"> Year of expenditure dollars have been inflated to the year in which they are expected to be received.</w:t>
      </w:r>
    </w:p>
  </w:footnote>
  <w:footnote w:id="3">
    <w:p w:rsidR="001C0650" w:rsidRDefault="001C0650" w:rsidP="002D3F7D">
      <w:pPr>
        <w:pStyle w:val="FootnoteText"/>
      </w:pPr>
      <w:r>
        <w:rPr>
          <w:rStyle w:val="FootnoteReference"/>
        </w:rPr>
        <w:footnoteRef/>
      </w:r>
      <w:r>
        <w:t xml:space="preserve"> 1994 is the first year of taxable sales date available on the Department of Revenue website.</w:t>
      </w:r>
    </w:p>
  </w:footnote>
  <w:footnote w:id="4">
    <w:p w:rsidR="001C0650" w:rsidRDefault="001C0650" w:rsidP="002D3F7D">
      <w:pPr>
        <w:pStyle w:val="FootnoteText"/>
      </w:pPr>
      <w:r>
        <w:rPr>
          <w:rStyle w:val="FootnoteReference"/>
        </w:rPr>
        <w:footnoteRef/>
      </w:r>
      <w:r>
        <w:t xml:space="preserve"> Large percentage increases in 1993 – 1996 assessed valuations precluded using data from those years.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50" w:rsidRDefault="001C0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1665E6"/>
    <w:lvl w:ilvl="0">
      <w:start w:val="1"/>
      <w:numFmt w:val="decimal"/>
      <w:lvlText w:val="%1."/>
      <w:lvlJc w:val="left"/>
      <w:pPr>
        <w:tabs>
          <w:tab w:val="num" w:pos="1800"/>
        </w:tabs>
        <w:ind w:left="1800" w:hanging="360"/>
      </w:pPr>
    </w:lvl>
  </w:abstractNum>
  <w:abstractNum w:abstractNumId="1">
    <w:nsid w:val="FFFFFF7D"/>
    <w:multiLevelType w:val="singleLevel"/>
    <w:tmpl w:val="5D283448"/>
    <w:lvl w:ilvl="0">
      <w:start w:val="1"/>
      <w:numFmt w:val="decimal"/>
      <w:lvlText w:val="%1."/>
      <w:lvlJc w:val="left"/>
      <w:pPr>
        <w:tabs>
          <w:tab w:val="num" w:pos="1440"/>
        </w:tabs>
        <w:ind w:left="1440" w:hanging="360"/>
      </w:pPr>
    </w:lvl>
  </w:abstractNum>
  <w:abstractNum w:abstractNumId="2">
    <w:nsid w:val="FFFFFF7E"/>
    <w:multiLevelType w:val="singleLevel"/>
    <w:tmpl w:val="5EBE162E"/>
    <w:lvl w:ilvl="0">
      <w:start w:val="1"/>
      <w:numFmt w:val="decimal"/>
      <w:lvlText w:val="%1."/>
      <w:lvlJc w:val="left"/>
      <w:pPr>
        <w:tabs>
          <w:tab w:val="num" w:pos="1080"/>
        </w:tabs>
        <w:ind w:left="1080" w:hanging="360"/>
      </w:pPr>
    </w:lvl>
  </w:abstractNum>
  <w:abstractNum w:abstractNumId="3">
    <w:nsid w:val="FFFFFF7F"/>
    <w:multiLevelType w:val="singleLevel"/>
    <w:tmpl w:val="85442866"/>
    <w:lvl w:ilvl="0">
      <w:start w:val="1"/>
      <w:numFmt w:val="decimal"/>
      <w:lvlText w:val="%1."/>
      <w:lvlJc w:val="left"/>
      <w:pPr>
        <w:tabs>
          <w:tab w:val="num" w:pos="720"/>
        </w:tabs>
        <w:ind w:left="720" w:hanging="360"/>
      </w:pPr>
    </w:lvl>
  </w:abstractNum>
  <w:abstractNum w:abstractNumId="4">
    <w:nsid w:val="FFFFFF80"/>
    <w:multiLevelType w:val="singleLevel"/>
    <w:tmpl w:val="3B2A2B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944C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608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5EACE4"/>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07DE3358"/>
    <w:lvl w:ilvl="0">
      <w:start w:val="1"/>
      <w:numFmt w:val="bullet"/>
      <w:lvlText w:val=""/>
      <w:lvlJc w:val="left"/>
      <w:pPr>
        <w:tabs>
          <w:tab w:val="num" w:pos="360"/>
        </w:tabs>
        <w:ind w:left="360" w:hanging="360"/>
      </w:pPr>
      <w:rPr>
        <w:rFonts w:ascii="Symbol" w:hAnsi="Symbol" w:hint="default"/>
      </w:rPr>
    </w:lvl>
  </w:abstractNum>
  <w:abstractNum w:abstractNumId="9">
    <w:nsid w:val="01DB558B"/>
    <w:multiLevelType w:val="multilevel"/>
    <w:tmpl w:val="0409001D"/>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sz w:val="18"/>
      </w:rPr>
    </w:lvl>
    <w:lvl w:ilvl="2">
      <w:start w:val="1"/>
      <w:numFmt w:val="bullet"/>
      <w:lvlText w:val=""/>
      <w:lvlJc w:val="left"/>
      <w:pPr>
        <w:tabs>
          <w:tab w:val="num" w:pos="1080"/>
        </w:tabs>
        <w:ind w:left="1080" w:hanging="360"/>
      </w:pPr>
      <w:rPr>
        <w:rFonts w:ascii="Wingdings" w:hAnsi="Wingdings"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3130C3C"/>
    <w:multiLevelType w:val="multilevel"/>
    <w:tmpl w:val="12B071AE"/>
    <w:lvl w:ilvl="0">
      <w:start w:val="1"/>
      <w:numFmt w:val="decimal"/>
      <w:pStyle w:val="ListNumberla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nsid w:val="06D30001"/>
    <w:multiLevelType w:val="hybridMultilevel"/>
    <w:tmpl w:val="7BCA6938"/>
    <w:lvl w:ilvl="0" w:tplc="9D9257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A2C727F"/>
    <w:multiLevelType w:val="multilevel"/>
    <w:tmpl w:val="0478A8B6"/>
    <w:lvl w:ilvl="0">
      <w:start w:val="1"/>
      <w:numFmt w:val="bullet"/>
      <w:pStyle w:val="ListBullet"/>
      <w:lvlText w:val=""/>
      <w:lvlJc w:val="left"/>
      <w:pPr>
        <w:tabs>
          <w:tab w:val="num" w:pos="360"/>
        </w:tabs>
        <w:ind w:left="360" w:hanging="360"/>
      </w:pPr>
      <w:rPr>
        <w:rFonts w:ascii="Wingdings" w:hAnsi="Wingdings" w:hint="default"/>
        <w:color w:val="003366"/>
      </w:rPr>
    </w:lvl>
    <w:lvl w:ilvl="1">
      <w:start w:val="1"/>
      <w:numFmt w:val="bullet"/>
      <w:lvlText w:val="−"/>
      <w:lvlJc w:val="left"/>
      <w:pPr>
        <w:tabs>
          <w:tab w:val="num" w:pos="720"/>
        </w:tabs>
        <w:ind w:left="720" w:hanging="360"/>
      </w:pPr>
      <w:rPr>
        <w:rFonts w:ascii="Times New Roman" w:hAnsi="Times New Roman" w:cs="Times New Roman" w:hint="default"/>
        <w:color w:val="003366"/>
      </w:rPr>
    </w:lvl>
    <w:lvl w:ilvl="2">
      <w:start w:val="1"/>
      <w:numFmt w:val="bullet"/>
      <w:lvlText w:val=""/>
      <w:lvlJc w:val="left"/>
      <w:pPr>
        <w:tabs>
          <w:tab w:val="num" w:pos="1080"/>
        </w:tabs>
        <w:ind w:left="1080" w:hanging="360"/>
      </w:pPr>
      <w:rPr>
        <w:rFonts w:ascii="Wingdings" w:hAnsi="Wingdings" w:hint="default"/>
        <w:color w:val="003366"/>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3">
    <w:nsid w:val="0C007D93"/>
    <w:multiLevelType w:val="hybridMultilevel"/>
    <w:tmpl w:val="100E4652"/>
    <w:lvl w:ilvl="0" w:tplc="915E2E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702D5"/>
    <w:multiLevelType w:val="hybridMultilevel"/>
    <w:tmpl w:val="AF06095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D565EA7"/>
    <w:multiLevelType w:val="hybridMultilevel"/>
    <w:tmpl w:val="DFE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6833BF"/>
    <w:multiLevelType w:val="hybridMultilevel"/>
    <w:tmpl w:val="1E60CD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2B137A8"/>
    <w:multiLevelType w:val="hybridMultilevel"/>
    <w:tmpl w:val="346A1C1A"/>
    <w:lvl w:ilvl="0" w:tplc="FAC63FE0">
      <w:start w:val="1"/>
      <w:numFmt w:val="bullet"/>
      <w:pStyle w:val="ListBulletLast"/>
      <w:lvlText w:val=""/>
      <w:lvlJc w:val="left"/>
      <w:pPr>
        <w:tabs>
          <w:tab w:val="num" w:pos="360"/>
        </w:tabs>
        <w:ind w:left="36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5C140F2"/>
    <w:multiLevelType w:val="multilevel"/>
    <w:tmpl w:val="737AAFDC"/>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9">
    <w:nsid w:val="1B710799"/>
    <w:multiLevelType w:val="hybridMultilevel"/>
    <w:tmpl w:val="70EA21FA"/>
    <w:lvl w:ilvl="0" w:tplc="FAC63F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A571C5"/>
    <w:multiLevelType w:val="hybridMultilevel"/>
    <w:tmpl w:val="8D4617F0"/>
    <w:lvl w:ilvl="0" w:tplc="22FA5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72695"/>
    <w:multiLevelType w:val="hybridMultilevel"/>
    <w:tmpl w:val="24D8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2C20B8"/>
    <w:multiLevelType w:val="hybridMultilevel"/>
    <w:tmpl w:val="E098B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F8B2CCE"/>
    <w:multiLevelType w:val="hybridMultilevel"/>
    <w:tmpl w:val="50D433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26B70EC"/>
    <w:multiLevelType w:val="hybridMultilevel"/>
    <w:tmpl w:val="291A1718"/>
    <w:lvl w:ilvl="0" w:tplc="2C703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E4403D"/>
    <w:multiLevelType w:val="hybridMultilevel"/>
    <w:tmpl w:val="689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30CF6"/>
    <w:multiLevelType w:val="hybridMultilevel"/>
    <w:tmpl w:val="F7E2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5A4C59"/>
    <w:multiLevelType w:val="hybridMultilevel"/>
    <w:tmpl w:val="6C9655F0"/>
    <w:lvl w:ilvl="0" w:tplc="37369528">
      <w:start w:val="1"/>
      <w:numFmt w:val="decimal"/>
      <w:lvlText w:val="%1"/>
      <w:lvlJc w:val="left"/>
      <w:pPr>
        <w:ind w:left="1080" w:hanging="720"/>
      </w:pPr>
      <w:rPr>
        <w:rFonts w:ascii="Times New Roman" w:hAnsi="Times New Roman" w:cs="Times New Roman" w:hint="default"/>
        <w:b w:val="0"/>
        <w:color w:val="000000" w:themeColor="text1"/>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DA4720"/>
    <w:multiLevelType w:val="hybridMultilevel"/>
    <w:tmpl w:val="CEAA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2841AF"/>
    <w:multiLevelType w:val="hybridMultilevel"/>
    <w:tmpl w:val="24682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E571E4"/>
    <w:multiLevelType w:val="hybridMultilevel"/>
    <w:tmpl w:val="2BE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573F1"/>
    <w:multiLevelType w:val="hybridMultilevel"/>
    <w:tmpl w:val="BEC64B84"/>
    <w:lvl w:ilvl="0" w:tplc="22FA5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417719"/>
    <w:multiLevelType w:val="hybridMultilevel"/>
    <w:tmpl w:val="7C50AB9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3">
    <w:nsid w:val="559322CD"/>
    <w:multiLevelType w:val="hybridMultilevel"/>
    <w:tmpl w:val="ECDC4C46"/>
    <w:lvl w:ilvl="0" w:tplc="A69427D8">
      <w:start w:val="1"/>
      <w:numFmt w:val="bullet"/>
      <w:pStyle w:val="TableBullet"/>
      <w:lvlText w:val=""/>
      <w:lvlJc w:val="left"/>
      <w:pPr>
        <w:tabs>
          <w:tab w:val="num" w:pos="360"/>
        </w:tabs>
        <w:ind w:left="108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A75790"/>
    <w:multiLevelType w:val="hybridMultilevel"/>
    <w:tmpl w:val="35068B30"/>
    <w:lvl w:ilvl="0" w:tplc="22FA5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66C82"/>
    <w:multiLevelType w:val="hybridMultilevel"/>
    <w:tmpl w:val="1B8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BE7317"/>
    <w:multiLevelType w:val="hybridMultilevel"/>
    <w:tmpl w:val="94C4AC28"/>
    <w:lvl w:ilvl="0" w:tplc="DAA8F14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443BC0"/>
    <w:multiLevelType w:val="hybridMultilevel"/>
    <w:tmpl w:val="0E2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B712D"/>
    <w:multiLevelType w:val="multilevel"/>
    <w:tmpl w:val="0486C286"/>
    <w:lvl w:ilvl="0">
      <w:start w:val="4"/>
      <w:numFmt w:val="decimal"/>
      <w:lvlText w:val="Chapter %1."/>
      <w:lvlJc w:val="left"/>
      <w:pPr>
        <w:tabs>
          <w:tab w:val="num" w:pos="2160"/>
        </w:tabs>
        <w:ind w:left="360" w:hanging="360"/>
      </w:pPr>
      <w:rPr>
        <w:rFonts w:ascii="Arial Narrow" w:hAnsi="Arial Narrow" w:hint="default"/>
        <w:b w:val="0"/>
        <w:i w:val="0"/>
        <w:sz w:val="48"/>
      </w:rPr>
    </w:lvl>
    <w:lvl w:ilvl="1">
      <w:start w:val="9"/>
      <w:numFmt w:val="decimal"/>
      <w:lvlText w:val="%1.%2."/>
      <w:lvlJc w:val="left"/>
      <w:pPr>
        <w:tabs>
          <w:tab w:val="num" w:pos="720"/>
        </w:tabs>
        <w:ind w:left="360" w:hanging="360"/>
      </w:pPr>
      <w:rPr>
        <w:rFonts w:ascii="Arial Narrow" w:hAnsi="Arial Narrow" w:hint="default"/>
        <w:b/>
        <w:i w:val="0"/>
        <w:sz w:val="36"/>
      </w:rPr>
    </w:lvl>
    <w:lvl w:ilvl="2">
      <w:start w:val="1"/>
      <w:numFmt w:val="decimal"/>
      <w:lvlText w:val="%1.%2.%3."/>
      <w:lvlJc w:val="left"/>
      <w:pPr>
        <w:tabs>
          <w:tab w:val="num" w:pos="720"/>
        </w:tabs>
        <w:ind w:left="360" w:hanging="360"/>
      </w:pPr>
      <w:rPr>
        <w:rFonts w:ascii="Arial Narrow" w:hAnsi="Arial Narrow" w:hint="default"/>
        <w:b/>
        <w:i w:val="0"/>
        <w:sz w:val="30"/>
      </w:rPr>
    </w:lvl>
    <w:lvl w:ilvl="3">
      <w:start w:val="1"/>
      <w:numFmt w:val="decimal"/>
      <w:lvlText w:val="%1.%2.%3.%4."/>
      <w:lvlJc w:val="left"/>
      <w:pPr>
        <w:tabs>
          <w:tab w:val="num" w:pos="1080"/>
        </w:tabs>
        <w:ind w:left="0" w:firstLine="0"/>
      </w:pPr>
      <w:rPr>
        <w:rFonts w:ascii="Arial Narrow" w:hAnsi="Arial Narrow" w:hint="default"/>
        <w:b w:val="0"/>
        <w:i/>
        <w:color w:val="003366"/>
        <w:sz w:val="30"/>
      </w:rPr>
    </w:lvl>
    <w:lvl w:ilvl="4">
      <w:start w:val="1"/>
      <w:numFmt w:val="none"/>
      <w:suff w:val="nothing"/>
      <w:lvlText w:val="0"/>
      <w:lvlJc w:val="left"/>
      <w:pPr>
        <w:ind w:left="360" w:hanging="1080"/>
      </w:pPr>
      <w:rPr>
        <w:rFonts w:hint="default"/>
      </w:rPr>
    </w:lvl>
    <w:lvl w:ilvl="5">
      <w:start w:val="1"/>
      <w:numFmt w:val="none"/>
      <w:suff w:val="space"/>
      <w:lvlText w:val="0"/>
      <w:lvlJc w:val="left"/>
      <w:pPr>
        <w:ind w:left="360" w:hanging="1080"/>
      </w:pPr>
      <w:rPr>
        <w:rFonts w:hint="default"/>
      </w:rPr>
    </w:lvl>
    <w:lvl w:ilvl="6">
      <w:start w:val="1"/>
      <w:numFmt w:val="none"/>
      <w:suff w:val="nothing"/>
      <w:lvlText w:val="0"/>
      <w:lvlJc w:val="left"/>
      <w:pPr>
        <w:ind w:left="720" w:hanging="1440"/>
      </w:pPr>
      <w:rPr>
        <w:rFonts w:hint="default"/>
      </w:rPr>
    </w:lvl>
    <w:lvl w:ilvl="7">
      <w:start w:val="1"/>
      <w:numFmt w:val="decimal"/>
      <w:suff w:val="nothing"/>
      <w:lvlText w:val="%80"/>
      <w:lvlJc w:val="left"/>
      <w:pPr>
        <w:ind w:left="720" w:hanging="1440"/>
      </w:pPr>
      <w:rPr>
        <w:rFonts w:hint="default"/>
      </w:rPr>
    </w:lvl>
    <w:lvl w:ilvl="8">
      <w:start w:val="1"/>
      <w:numFmt w:val="none"/>
      <w:suff w:val="nothing"/>
      <w:lvlText w:val="0"/>
      <w:lvlJc w:val="left"/>
      <w:pPr>
        <w:ind w:left="1080" w:hanging="1800"/>
      </w:pPr>
      <w:rPr>
        <w:rFonts w:hint="default"/>
      </w:rPr>
    </w:lvl>
  </w:abstractNum>
  <w:abstractNum w:abstractNumId="39">
    <w:nsid w:val="6F776608"/>
    <w:multiLevelType w:val="hybridMultilevel"/>
    <w:tmpl w:val="1086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E33790"/>
    <w:multiLevelType w:val="multilevel"/>
    <w:tmpl w:val="0409001D"/>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sz w:val="18"/>
      </w:rPr>
    </w:lvl>
    <w:lvl w:ilvl="2">
      <w:start w:val="1"/>
      <w:numFmt w:val="bullet"/>
      <w:lvlText w:val=""/>
      <w:lvlJc w:val="left"/>
      <w:pPr>
        <w:tabs>
          <w:tab w:val="num" w:pos="1080"/>
        </w:tabs>
        <w:ind w:left="1080" w:hanging="360"/>
      </w:pPr>
      <w:rPr>
        <w:rFonts w:ascii="Wingdings" w:hAnsi="Wingdings" w:hint="default"/>
        <w:sz w:val="1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30F4B37"/>
    <w:multiLevelType w:val="hybridMultilevel"/>
    <w:tmpl w:val="77CC3A80"/>
    <w:lvl w:ilvl="0" w:tplc="23ACDF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86285"/>
    <w:multiLevelType w:val="hybridMultilevel"/>
    <w:tmpl w:val="EA66F3B6"/>
    <w:lvl w:ilvl="0" w:tplc="A8B8214C">
      <w:start w:val="1"/>
      <w:numFmt w:val="decimal"/>
      <w:lvlText w:val="%1"/>
      <w:lvlJc w:val="left"/>
      <w:pPr>
        <w:ind w:left="720" w:hanging="360"/>
      </w:pPr>
      <w:rPr>
        <w:rFonts w:eastAsia="Times New Roman" w:hint="default"/>
        <w:sz w:val="1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42B78"/>
    <w:multiLevelType w:val="hybridMultilevel"/>
    <w:tmpl w:val="9F1C8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D73CF"/>
    <w:multiLevelType w:val="hybridMultilevel"/>
    <w:tmpl w:val="55E0C74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12"/>
  </w:num>
  <w:num w:numId="3">
    <w:abstractNumId w:val="17"/>
  </w:num>
  <w:num w:numId="4">
    <w:abstractNumId w:val="18"/>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9"/>
  </w:num>
  <w:num w:numId="18">
    <w:abstractNumId w:val="35"/>
  </w:num>
  <w:num w:numId="19">
    <w:abstractNumId w:val="29"/>
  </w:num>
  <w:num w:numId="20">
    <w:abstractNumId w:val="26"/>
  </w:num>
  <w:num w:numId="21">
    <w:abstractNumId w:val="14"/>
  </w:num>
  <w:num w:numId="22">
    <w:abstractNumId w:val="30"/>
  </w:num>
  <w:num w:numId="23">
    <w:abstractNumId w:val="41"/>
  </w:num>
  <w:num w:numId="24">
    <w:abstractNumId w:val="25"/>
  </w:num>
  <w:num w:numId="25">
    <w:abstractNumId w:val="23"/>
  </w:num>
  <w:num w:numId="26">
    <w:abstractNumId w:val="32"/>
  </w:num>
  <w:num w:numId="27">
    <w:abstractNumId w:val="36"/>
  </w:num>
  <w:num w:numId="2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9"/>
  </w:num>
  <w:num w:numId="31">
    <w:abstractNumId w:val="40"/>
  </w:num>
  <w:num w:numId="32">
    <w:abstractNumId w:val="22"/>
  </w:num>
  <w:num w:numId="33">
    <w:abstractNumId w:val="11"/>
  </w:num>
  <w:num w:numId="34">
    <w:abstractNumId w:val="12"/>
  </w:num>
  <w:num w:numId="35">
    <w:abstractNumId w:val="20"/>
  </w:num>
  <w:num w:numId="36">
    <w:abstractNumId w:val="16"/>
  </w:num>
  <w:num w:numId="37">
    <w:abstractNumId w:val="31"/>
  </w:num>
  <w:num w:numId="38">
    <w:abstractNumId w:val="34"/>
  </w:num>
  <w:num w:numId="39">
    <w:abstractNumId w:val="27"/>
  </w:num>
  <w:num w:numId="40">
    <w:abstractNumId w:val="24"/>
  </w:num>
  <w:num w:numId="41">
    <w:abstractNumId w:val="39"/>
  </w:num>
  <w:num w:numId="42">
    <w:abstractNumId w:val="13"/>
  </w:num>
  <w:num w:numId="43">
    <w:abstractNumId w:val="37"/>
  </w:num>
  <w:num w:numId="44">
    <w:abstractNumId w:val="28"/>
  </w:num>
  <w:num w:numId="45">
    <w:abstractNumId w:val="15"/>
  </w:num>
  <w:num w:numId="46">
    <w:abstractNumId w:val="2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533505" style="mso-position-horizontal-relative:margin;mso-position-vertical-relative:page" fillcolor="white" strokecolor="#036">
      <v:fill color="white"/>
      <v:stroke color="#036" weight=".5pt"/>
      <v:textbox inset="1.44pt,2.16pt,1.44pt,1.44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C7"/>
    <w:rsid w:val="0000071C"/>
    <w:rsid w:val="0000081B"/>
    <w:rsid w:val="000026EE"/>
    <w:rsid w:val="000059F5"/>
    <w:rsid w:val="00005BF8"/>
    <w:rsid w:val="000102C4"/>
    <w:rsid w:val="00011CFA"/>
    <w:rsid w:val="00012E38"/>
    <w:rsid w:val="0001302D"/>
    <w:rsid w:val="00013788"/>
    <w:rsid w:val="000147FF"/>
    <w:rsid w:val="00017B64"/>
    <w:rsid w:val="00021E98"/>
    <w:rsid w:val="000223A8"/>
    <w:rsid w:val="00022AF3"/>
    <w:rsid w:val="000235B3"/>
    <w:rsid w:val="0002407A"/>
    <w:rsid w:val="0002502F"/>
    <w:rsid w:val="0003272B"/>
    <w:rsid w:val="00032A83"/>
    <w:rsid w:val="00035DCE"/>
    <w:rsid w:val="00036E8F"/>
    <w:rsid w:val="00037A55"/>
    <w:rsid w:val="00037C86"/>
    <w:rsid w:val="00037D4F"/>
    <w:rsid w:val="00042081"/>
    <w:rsid w:val="00042553"/>
    <w:rsid w:val="000425BA"/>
    <w:rsid w:val="0004415C"/>
    <w:rsid w:val="00044419"/>
    <w:rsid w:val="00046CF8"/>
    <w:rsid w:val="000475BE"/>
    <w:rsid w:val="00050435"/>
    <w:rsid w:val="00054764"/>
    <w:rsid w:val="0005555C"/>
    <w:rsid w:val="000556F0"/>
    <w:rsid w:val="00056FC7"/>
    <w:rsid w:val="00057502"/>
    <w:rsid w:val="00057C25"/>
    <w:rsid w:val="00060579"/>
    <w:rsid w:val="00061C3B"/>
    <w:rsid w:val="00064166"/>
    <w:rsid w:val="00072339"/>
    <w:rsid w:val="000735B5"/>
    <w:rsid w:val="000738F3"/>
    <w:rsid w:val="000757F5"/>
    <w:rsid w:val="000760E1"/>
    <w:rsid w:val="00076338"/>
    <w:rsid w:val="00076E14"/>
    <w:rsid w:val="00083017"/>
    <w:rsid w:val="000849FA"/>
    <w:rsid w:val="00084EB4"/>
    <w:rsid w:val="00087407"/>
    <w:rsid w:val="000921AF"/>
    <w:rsid w:val="00093290"/>
    <w:rsid w:val="00097E10"/>
    <w:rsid w:val="000A05EA"/>
    <w:rsid w:val="000A0BA7"/>
    <w:rsid w:val="000A1E37"/>
    <w:rsid w:val="000A3183"/>
    <w:rsid w:val="000A3F2B"/>
    <w:rsid w:val="000A6F75"/>
    <w:rsid w:val="000B1E7A"/>
    <w:rsid w:val="000B526B"/>
    <w:rsid w:val="000B547A"/>
    <w:rsid w:val="000B60C7"/>
    <w:rsid w:val="000B688A"/>
    <w:rsid w:val="000B7231"/>
    <w:rsid w:val="000B742A"/>
    <w:rsid w:val="000B7857"/>
    <w:rsid w:val="000C15C2"/>
    <w:rsid w:val="000D0249"/>
    <w:rsid w:val="000D10E9"/>
    <w:rsid w:val="000D29A3"/>
    <w:rsid w:val="000D48CC"/>
    <w:rsid w:val="000D4A55"/>
    <w:rsid w:val="000D52CB"/>
    <w:rsid w:val="000E281C"/>
    <w:rsid w:val="000E2FAC"/>
    <w:rsid w:val="000E5951"/>
    <w:rsid w:val="000E68A4"/>
    <w:rsid w:val="000E6F85"/>
    <w:rsid w:val="000E731C"/>
    <w:rsid w:val="000F061A"/>
    <w:rsid w:val="000F469E"/>
    <w:rsid w:val="000F47B0"/>
    <w:rsid w:val="00100C3E"/>
    <w:rsid w:val="00102CA2"/>
    <w:rsid w:val="0010330A"/>
    <w:rsid w:val="00103B36"/>
    <w:rsid w:val="001046F8"/>
    <w:rsid w:val="00105BFF"/>
    <w:rsid w:val="00107D86"/>
    <w:rsid w:val="001100FB"/>
    <w:rsid w:val="0011197E"/>
    <w:rsid w:val="00112C1C"/>
    <w:rsid w:val="00113D0A"/>
    <w:rsid w:val="001245E7"/>
    <w:rsid w:val="00131DBB"/>
    <w:rsid w:val="00131E48"/>
    <w:rsid w:val="001323A1"/>
    <w:rsid w:val="0013574E"/>
    <w:rsid w:val="001375A8"/>
    <w:rsid w:val="00137D40"/>
    <w:rsid w:val="00145A72"/>
    <w:rsid w:val="00151B36"/>
    <w:rsid w:val="00152DF7"/>
    <w:rsid w:val="001534F0"/>
    <w:rsid w:val="001535DF"/>
    <w:rsid w:val="00154E6E"/>
    <w:rsid w:val="00161B62"/>
    <w:rsid w:val="001636F2"/>
    <w:rsid w:val="00163811"/>
    <w:rsid w:val="0016410F"/>
    <w:rsid w:val="00166150"/>
    <w:rsid w:val="001675D0"/>
    <w:rsid w:val="00167ED1"/>
    <w:rsid w:val="00170384"/>
    <w:rsid w:val="00171F18"/>
    <w:rsid w:val="00173292"/>
    <w:rsid w:val="00175D81"/>
    <w:rsid w:val="00176995"/>
    <w:rsid w:val="00180DF1"/>
    <w:rsid w:val="001825F2"/>
    <w:rsid w:val="00183380"/>
    <w:rsid w:val="00183AA8"/>
    <w:rsid w:val="00185459"/>
    <w:rsid w:val="00185557"/>
    <w:rsid w:val="00190AA9"/>
    <w:rsid w:val="001912E7"/>
    <w:rsid w:val="00193878"/>
    <w:rsid w:val="00194AE3"/>
    <w:rsid w:val="00195441"/>
    <w:rsid w:val="00196B98"/>
    <w:rsid w:val="001974EC"/>
    <w:rsid w:val="00197894"/>
    <w:rsid w:val="001A3771"/>
    <w:rsid w:val="001A43B3"/>
    <w:rsid w:val="001A4D9B"/>
    <w:rsid w:val="001A52DC"/>
    <w:rsid w:val="001A5C0D"/>
    <w:rsid w:val="001A6F7E"/>
    <w:rsid w:val="001A7BA7"/>
    <w:rsid w:val="001B1649"/>
    <w:rsid w:val="001B1CEE"/>
    <w:rsid w:val="001B20C6"/>
    <w:rsid w:val="001B27AB"/>
    <w:rsid w:val="001B3A0D"/>
    <w:rsid w:val="001B4637"/>
    <w:rsid w:val="001B6BC1"/>
    <w:rsid w:val="001B78C8"/>
    <w:rsid w:val="001C0650"/>
    <w:rsid w:val="001C2246"/>
    <w:rsid w:val="001C4B93"/>
    <w:rsid w:val="001C4D90"/>
    <w:rsid w:val="001D199E"/>
    <w:rsid w:val="001D1F34"/>
    <w:rsid w:val="001D28A3"/>
    <w:rsid w:val="001D28F4"/>
    <w:rsid w:val="001D41F3"/>
    <w:rsid w:val="001D6F2B"/>
    <w:rsid w:val="001E0AE5"/>
    <w:rsid w:val="001E1C34"/>
    <w:rsid w:val="001E26A5"/>
    <w:rsid w:val="001E4682"/>
    <w:rsid w:val="001E4704"/>
    <w:rsid w:val="001E4847"/>
    <w:rsid w:val="001E5E88"/>
    <w:rsid w:val="001E74FB"/>
    <w:rsid w:val="001F09CC"/>
    <w:rsid w:val="001F33D6"/>
    <w:rsid w:val="001F53E2"/>
    <w:rsid w:val="001F5971"/>
    <w:rsid w:val="001F69E6"/>
    <w:rsid w:val="001F7D99"/>
    <w:rsid w:val="00203E7B"/>
    <w:rsid w:val="00212545"/>
    <w:rsid w:val="00212D0A"/>
    <w:rsid w:val="00213858"/>
    <w:rsid w:val="00213FC2"/>
    <w:rsid w:val="00215E0F"/>
    <w:rsid w:val="002207D1"/>
    <w:rsid w:val="002214B0"/>
    <w:rsid w:val="00221AEB"/>
    <w:rsid w:val="00227520"/>
    <w:rsid w:val="002275A7"/>
    <w:rsid w:val="00227761"/>
    <w:rsid w:val="0023132E"/>
    <w:rsid w:val="00233583"/>
    <w:rsid w:val="0023641A"/>
    <w:rsid w:val="00236505"/>
    <w:rsid w:val="00236999"/>
    <w:rsid w:val="0024009B"/>
    <w:rsid w:val="00241E8C"/>
    <w:rsid w:val="00243DA2"/>
    <w:rsid w:val="00243F18"/>
    <w:rsid w:val="00245078"/>
    <w:rsid w:val="00246F3A"/>
    <w:rsid w:val="002541B1"/>
    <w:rsid w:val="002551D3"/>
    <w:rsid w:val="00255A3F"/>
    <w:rsid w:val="00256E3A"/>
    <w:rsid w:val="00266AE8"/>
    <w:rsid w:val="00270453"/>
    <w:rsid w:val="002808F1"/>
    <w:rsid w:val="002824D5"/>
    <w:rsid w:val="0028352D"/>
    <w:rsid w:val="00283581"/>
    <w:rsid w:val="00283ABC"/>
    <w:rsid w:val="00286D1E"/>
    <w:rsid w:val="002903FB"/>
    <w:rsid w:val="00294538"/>
    <w:rsid w:val="00295883"/>
    <w:rsid w:val="00296270"/>
    <w:rsid w:val="002975D0"/>
    <w:rsid w:val="002A0B64"/>
    <w:rsid w:val="002A4191"/>
    <w:rsid w:val="002A4668"/>
    <w:rsid w:val="002A79A7"/>
    <w:rsid w:val="002B1377"/>
    <w:rsid w:val="002B1526"/>
    <w:rsid w:val="002B2473"/>
    <w:rsid w:val="002B48C2"/>
    <w:rsid w:val="002B73B4"/>
    <w:rsid w:val="002B7F88"/>
    <w:rsid w:val="002C0FF7"/>
    <w:rsid w:val="002C1303"/>
    <w:rsid w:val="002C1F96"/>
    <w:rsid w:val="002C20DF"/>
    <w:rsid w:val="002C2C6F"/>
    <w:rsid w:val="002C6D08"/>
    <w:rsid w:val="002C72D2"/>
    <w:rsid w:val="002C77DA"/>
    <w:rsid w:val="002D0159"/>
    <w:rsid w:val="002D1334"/>
    <w:rsid w:val="002D1525"/>
    <w:rsid w:val="002D1703"/>
    <w:rsid w:val="002D1BF2"/>
    <w:rsid w:val="002D2CD5"/>
    <w:rsid w:val="002D3F7D"/>
    <w:rsid w:val="002D4C96"/>
    <w:rsid w:val="002D52AD"/>
    <w:rsid w:val="002D5B7A"/>
    <w:rsid w:val="002D6353"/>
    <w:rsid w:val="002D69E9"/>
    <w:rsid w:val="002D6DFB"/>
    <w:rsid w:val="002D786A"/>
    <w:rsid w:val="002E0928"/>
    <w:rsid w:val="002E1DB7"/>
    <w:rsid w:val="002E2922"/>
    <w:rsid w:val="002E323B"/>
    <w:rsid w:val="002E34C7"/>
    <w:rsid w:val="002E4A7F"/>
    <w:rsid w:val="002E59BF"/>
    <w:rsid w:val="002E71F1"/>
    <w:rsid w:val="002E7E89"/>
    <w:rsid w:val="002F0BC3"/>
    <w:rsid w:val="002F1E9E"/>
    <w:rsid w:val="002F2DF2"/>
    <w:rsid w:val="002F50FA"/>
    <w:rsid w:val="002F7621"/>
    <w:rsid w:val="00300DBF"/>
    <w:rsid w:val="0030101E"/>
    <w:rsid w:val="003010D9"/>
    <w:rsid w:val="003015E3"/>
    <w:rsid w:val="00305917"/>
    <w:rsid w:val="00306C66"/>
    <w:rsid w:val="00307414"/>
    <w:rsid w:val="00311401"/>
    <w:rsid w:val="003120D3"/>
    <w:rsid w:val="0031246C"/>
    <w:rsid w:val="00313DCB"/>
    <w:rsid w:val="0031677D"/>
    <w:rsid w:val="00316A8A"/>
    <w:rsid w:val="0031703E"/>
    <w:rsid w:val="003213A6"/>
    <w:rsid w:val="00325A2E"/>
    <w:rsid w:val="003267AA"/>
    <w:rsid w:val="00327E20"/>
    <w:rsid w:val="00330436"/>
    <w:rsid w:val="00333E9C"/>
    <w:rsid w:val="00334677"/>
    <w:rsid w:val="00336BDD"/>
    <w:rsid w:val="0033772C"/>
    <w:rsid w:val="00337CA9"/>
    <w:rsid w:val="00341AEE"/>
    <w:rsid w:val="00341F0E"/>
    <w:rsid w:val="00342329"/>
    <w:rsid w:val="00343EF6"/>
    <w:rsid w:val="003465D4"/>
    <w:rsid w:val="00350C2C"/>
    <w:rsid w:val="00351E71"/>
    <w:rsid w:val="003530EB"/>
    <w:rsid w:val="00355783"/>
    <w:rsid w:val="00356E3A"/>
    <w:rsid w:val="00357868"/>
    <w:rsid w:val="00357B95"/>
    <w:rsid w:val="0036058D"/>
    <w:rsid w:val="00361081"/>
    <w:rsid w:val="003623E3"/>
    <w:rsid w:val="00363120"/>
    <w:rsid w:val="00364E8F"/>
    <w:rsid w:val="003661A5"/>
    <w:rsid w:val="003663EF"/>
    <w:rsid w:val="0037045F"/>
    <w:rsid w:val="00371873"/>
    <w:rsid w:val="00371889"/>
    <w:rsid w:val="003719A3"/>
    <w:rsid w:val="00372641"/>
    <w:rsid w:val="003733E7"/>
    <w:rsid w:val="00373D16"/>
    <w:rsid w:val="00373D8B"/>
    <w:rsid w:val="0037413A"/>
    <w:rsid w:val="0037420E"/>
    <w:rsid w:val="00375AA1"/>
    <w:rsid w:val="00376FDA"/>
    <w:rsid w:val="00381724"/>
    <w:rsid w:val="00381CE0"/>
    <w:rsid w:val="00385B12"/>
    <w:rsid w:val="00386E80"/>
    <w:rsid w:val="003875E6"/>
    <w:rsid w:val="00390313"/>
    <w:rsid w:val="0039099A"/>
    <w:rsid w:val="00392C68"/>
    <w:rsid w:val="00393D69"/>
    <w:rsid w:val="00394727"/>
    <w:rsid w:val="00395422"/>
    <w:rsid w:val="003A14DC"/>
    <w:rsid w:val="003A1704"/>
    <w:rsid w:val="003A1E90"/>
    <w:rsid w:val="003A5111"/>
    <w:rsid w:val="003A5351"/>
    <w:rsid w:val="003B261B"/>
    <w:rsid w:val="003B2903"/>
    <w:rsid w:val="003B4325"/>
    <w:rsid w:val="003B485B"/>
    <w:rsid w:val="003B4B4C"/>
    <w:rsid w:val="003B5525"/>
    <w:rsid w:val="003B5C83"/>
    <w:rsid w:val="003C0D9B"/>
    <w:rsid w:val="003C1F84"/>
    <w:rsid w:val="003C420D"/>
    <w:rsid w:val="003C4242"/>
    <w:rsid w:val="003C7510"/>
    <w:rsid w:val="003D237B"/>
    <w:rsid w:val="003D275B"/>
    <w:rsid w:val="003D32D3"/>
    <w:rsid w:val="003D394F"/>
    <w:rsid w:val="003D6440"/>
    <w:rsid w:val="003D7447"/>
    <w:rsid w:val="003D7F1D"/>
    <w:rsid w:val="003E12DD"/>
    <w:rsid w:val="003E36C2"/>
    <w:rsid w:val="003E4EE0"/>
    <w:rsid w:val="003E5AE5"/>
    <w:rsid w:val="003E7290"/>
    <w:rsid w:val="003F26D2"/>
    <w:rsid w:val="003F461A"/>
    <w:rsid w:val="003F4BD3"/>
    <w:rsid w:val="003F5BC7"/>
    <w:rsid w:val="00401892"/>
    <w:rsid w:val="004040FA"/>
    <w:rsid w:val="004045F8"/>
    <w:rsid w:val="0040645A"/>
    <w:rsid w:val="00413007"/>
    <w:rsid w:val="00413061"/>
    <w:rsid w:val="00413A98"/>
    <w:rsid w:val="00413F3D"/>
    <w:rsid w:val="004142F2"/>
    <w:rsid w:val="0041654F"/>
    <w:rsid w:val="00417C36"/>
    <w:rsid w:val="0042161B"/>
    <w:rsid w:val="0042276E"/>
    <w:rsid w:val="004235D3"/>
    <w:rsid w:val="00427286"/>
    <w:rsid w:val="00431CF5"/>
    <w:rsid w:val="00431F25"/>
    <w:rsid w:val="004353F1"/>
    <w:rsid w:val="00436E37"/>
    <w:rsid w:val="00437218"/>
    <w:rsid w:val="0043753F"/>
    <w:rsid w:val="00440120"/>
    <w:rsid w:val="0044078A"/>
    <w:rsid w:val="00440F28"/>
    <w:rsid w:val="00442B21"/>
    <w:rsid w:val="004441E7"/>
    <w:rsid w:val="004460C0"/>
    <w:rsid w:val="00446ABD"/>
    <w:rsid w:val="00453877"/>
    <w:rsid w:val="00453B23"/>
    <w:rsid w:val="00454C47"/>
    <w:rsid w:val="00457310"/>
    <w:rsid w:val="0045793F"/>
    <w:rsid w:val="004601D2"/>
    <w:rsid w:val="00460897"/>
    <w:rsid w:val="00460B46"/>
    <w:rsid w:val="0046365D"/>
    <w:rsid w:val="004649A2"/>
    <w:rsid w:val="00464A7C"/>
    <w:rsid w:val="00465D3E"/>
    <w:rsid w:val="00466876"/>
    <w:rsid w:val="00467588"/>
    <w:rsid w:val="004763A3"/>
    <w:rsid w:val="004774A8"/>
    <w:rsid w:val="004823C0"/>
    <w:rsid w:val="0048273C"/>
    <w:rsid w:val="004831F0"/>
    <w:rsid w:val="004860D0"/>
    <w:rsid w:val="0048728C"/>
    <w:rsid w:val="00491A14"/>
    <w:rsid w:val="00492FC5"/>
    <w:rsid w:val="004930DD"/>
    <w:rsid w:val="00493818"/>
    <w:rsid w:val="00494152"/>
    <w:rsid w:val="00494487"/>
    <w:rsid w:val="0049539B"/>
    <w:rsid w:val="00497B97"/>
    <w:rsid w:val="004A2DF6"/>
    <w:rsid w:val="004A50F7"/>
    <w:rsid w:val="004A6BA0"/>
    <w:rsid w:val="004A793D"/>
    <w:rsid w:val="004A7B63"/>
    <w:rsid w:val="004B044E"/>
    <w:rsid w:val="004B4436"/>
    <w:rsid w:val="004B79A3"/>
    <w:rsid w:val="004C4984"/>
    <w:rsid w:val="004D4EEB"/>
    <w:rsid w:val="004D6040"/>
    <w:rsid w:val="004D6944"/>
    <w:rsid w:val="004D69D7"/>
    <w:rsid w:val="004D7BC3"/>
    <w:rsid w:val="004E029F"/>
    <w:rsid w:val="004E0802"/>
    <w:rsid w:val="004E11F2"/>
    <w:rsid w:val="004E2466"/>
    <w:rsid w:val="004E3D01"/>
    <w:rsid w:val="004E3DDA"/>
    <w:rsid w:val="004E7CA7"/>
    <w:rsid w:val="004F3375"/>
    <w:rsid w:val="004F5489"/>
    <w:rsid w:val="004F7089"/>
    <w:rsid w:val="004F7C64"/>
    <w:rsid w:val="00500044"/>
    <w:rsid w:val="00502AEF"/>
    <w:rsid w:val="00504FF5"/>
    <w:rsid w:val="00510D3C"/>
    <w:rsid w:val="00512379"/>
    <w:rsid w:val="005126EF"/>
    <w:rsid w:val="00513530"/>
    <w:rsid w:val="00514CEB"/>
    <w:rsid w:val="00517EE5"/>
    <w:rsid w:val="00520206"/>
    <w:rsid w:val="0052620A"/>
    <w:rsid w:val="005263B2"/>
    <w:rsid w:val="00527D77"/>
    <w:rsid w:val="00530240"/>
    <w:rsid w:val="00530664"/>
    <w:rsid w:val="00530846"/>
    <w:rsid w:val="005310B8"/>
    <w:rsid w:val="005320AE"/>
    <w:rsid w:val="00533000"/>
    <w:rsid w:val="005352FC"/>
    <w:rsid w:val="00536B0C"/>
    <w:rsid w:val="00536EAF"/>
    <w:rsid w:val="005374E4"/>
    <w:rsid w:val="00542CB4"/>
    <w:rsid w:val="00543190"/>
    <w:rsid w:val="005431A8"/>
    <w:rsid w:val="00545DCB"/>
    <w:rsid w:val="00551764"/>
    <w:rsid w:val="00555BBB"/>
    <w:rsid w:val="005564A1"/>
    <w:rsid w:val="005565CD"/>
    <w:rsid w:val="00562052"/>
    <w:rsid w:val="00562DDA"/>
    <w:rsid w:val="00566248"/>
    <w:rsid w:val="00567AD9"/>
    <w:rsid w:val="00571501"/>
    <w:rsid w:val="005718C9"/>
    <w:rsid w:val="005718E8"/>
    <w:rsid w:val="00572E01"/>
    <w:rsid w:val="00573BA0"/>
    <w:rsid w:val="0057471B"/>
    <w:rsid w:val="00574B7C"/>
    <w:rsid w:val="005819D7"/>
    <w:rsid w:val="00585D8F"/>
    <w:rsid w:val="0059144B"/>
    <w:rsid w:val="005915BB"/>
    <w:rsid w:val="00591F32"/>
    <w:rsid w:val="005928B2"/>
    <w:rsid w:val="00592F62"/>
    <w:rsid w:val="00595AA6"/>
    <w:rsid w:val="00596AE2"/>
    <w:rsid w:val="00597559"/>
    <w:rsid w:val="005A1775"/>
    <w:rsid w:val="005A1DA1"/>
    <w:rsid w:val="005A4F74"/>
    <w:rsid w:val="005A70A4"/>
    <w:rsid w:val="005A75B6"/>
    <w:rsid w:val="005A7E59"/>
    <w:rsid w:val="005B0EB2"/>
    <w:rsid w:val="005B1D86"/>
    <w:rsid w:val="005B42F8"/>
    <w:rsid w:val="005B5349"/>
    <w:rsid w:val="005B6BB8"/>
    <w:rsid w:val="005C0969"/>
    <w:rsid w:val="005C0B27"/>
    <w:rsid w:val="005C17CA"/>
    <w:rsid w:val="005C60E1"/>
    <w:rsid w:val="005C6CE3"/>
    <w:rsid w:val="005D1917"/>
    <w:rsid w:val="005D1D7B"/>
    <w:rsid w:val="005D3D49"/>
    <w:rsid w:val="005D4519"/>
    <w:rsid w:val="005D479D"/>
    <w:rsid w:val="005D58BB"/>
    <w:rsid w:val="005D71BD"/>
    <w:rsid w:val="005E00D9"/>
    <w:rsid w:val="005E02DB"/>
    <w:rsid w:val="005E2D0A"/>
    <w:rsid w:val="005E3203"/>
    <w:rsid w:val="005E4B91"/>
    <w:rsid w:val="005E65D3"/>
    <w:rsid w:val="005E7DF4"/>
    <w:rsid w:val="005F0A77"/>
    <w:rsid w:val="005F2D87"/>
    <w:rsid w:val="005F4D8D"/>
    <w:rsid w:val="005F6C3C"/>
    <w:rsid w:val="006017DC"/>
    <w:rsid w:val="00605253"/>
    <w:rsid w:val="006060BD"/>
    <w:rsid w:val="00606E8C"/>
    <w:rsid w:val="006072CB"/>
    <w:rsid w:val="00607308"/>
    <w:rsid w:val="0061030A"/>
    <w:rsid w:val="0061349E"/>
    <w:rsid w:val="00613DB5"/>
    <w:rsid w:val="00613E55"/>
    <w:rsid w:val="00614E3B"/>
    <w:rsid w:val="006159CB"/>
    <w:rsid w:val="006205CA"/>
    <w:rsid w:val="006209FE"/>
    <w:rsid w:val="00620C85"/>
    <w:rsid w:val="00621D0D"/>
    <w:rsid w:val="006220C5"/>
    <w:rsid w:val="0062360C"/>
    <w:rsid w:val="006246CF"/>
    <w:rsid w:val="00624B52"/>
    <w:rsid w:val="00625B0D"/>
    <w:rsid w:val="006262F6"/>
    <w:rsid w:val="006267F3"/>
    <w:rsid w:val="00627D9C"/>
    <w:rsid w:val="00632943"/>
    <w:rsid w:val="006346B1"/>
    <w:rsid w:val="00636ED7"/>
    <w:rsid w:val="00637240"/>
    <w:rsid w:val="00640341"/>
    <w:rsid w:val="00640DAD"/>
    <w:rsid w:val="00641E73"/>
    <w:rsid w:val="00643F56"/>
    <w:rsid w:val="00645F65"/>
    <w:rsid w:val="00645FF5"/>
    <w:rsid w:val="0064794C"/>
    <w:rsid w:val="00650063"/>
    <w:rsid w:val="00652A89"/>
    <w:rsid w:val="00653563"/>
    <w:rsid w:val="00655CE1"/>
    <w:rsid w:val="00657048"/>
    <w:rsid w:val="00657203"/>
    <w:rsid w:val="0066033C"/>
    <w:rsid w:val="00660D70"/>
    <w:rsid w:val="006639E0"/>
    <w:rsid w:val="00663DD1"/>
    <w:rsid w:val="00664280"/>
    <w:rsid w:val="00667867"/>
    <w:rsid w:val="006701FA"/>
    <w:rsid w:val="00670520"/>
    <w:rsid w:val="006741A9"/>
    <w:rsid w:val="0067430B"/>
    <w:rsid w:val="006743B3"/>
    <w:rsid w:val="00674E8F"/>
    <w:rsid w:val="006772C8"/>
    <w:rsid w:val="00683698"/>
    <w:rsid w:val="00683E00"/>
    <w:rsid w:val="0068429A"/>
    <w:rsid w:val="006849EB"/>
    <w:rsid w:val="00691043"/>
    <w:rsid w:val="00695DB8"/>
    <w:rsid w:val="00697ADD"/>
    <w:rsid w:val="00697FF8"/>
    <w:rsid w:val="006A0084"/>
    <w:rsid w:val="006A2857"/>
    <w:rsid w:val="006A43C3"/>
    <w:rsid w:val="006A476B"/>
    <w:rsid w:val="006A5327"/>
    <w:rsid w:val="006A7FCA"/>
    <w:rsid w:val="006B0E50"/>
    <w:rsid w:val="006B1EAB"/>
    <w:rsid w:val="006C459F"/>
    <w:rsid w:val="006C5DAF"/>
    <w:rsid w:val="006D22E7"/>
    <w:rsid w:val="006D26BE"/>
    <w:rsid w:val="006D6379"/>
    <w:rsid w:val="006E3E37"/>
    <w:rsid w:val="006E5188"/>
    <w:rsid w:val="006E647F"/>
    <w:rsid w:val="006E66DD"/>
    <w:rsid w:val="006E72FF"/>
    <w:rsid w:val="006F0E88"/>
    <w:rsid w:val="006F49BF"/>
    <w:rsid w:val="006F59C4"/>
    <w:rsid w:val="006F69F3"/>
    <w:rsid w:val="006F79CA"/>
    <w:rsid w:val="00704808"/>
    <w:rsid w:val="00704EDC"/>
    <w:rsid w:val="0070610F"/>
    <w:rsid w:val="007070ED"/>
    <w:rsid w:val="0071098F"/>
    <w:rsid w:val="00711A80"/>
    <w:rsid w:val="00711C60"/>
    <w:rsid w:val="00723718"/>
    <w:rsid w:val="00723A2E"/>
    <w:rsid w:val="007240D6"/>
    <w:rsid w:val="0072427E"/>
    <w:rsid w:val="00724825"/>
    <w:rsid w:val="00724C83"/>
    <w:rsid w:val="007269DE"/>
    <w:rsid w:val="007302AB"/>
    <w:rsid w:val="0073393D"/>
    <w:rsid w:val="00733B64"/>
    <w:rsid w:val="00733CE1"/>
    <w:rsid w:val="0073426C"/>
    <w:rsid w:val="007360BC"/>
    <w:rsid w:val="00743AFD"/>
    <w:rsid w:val="00744631"/>
    <w:rsid w:val="007460F9"/>
    <w:rsid w:val="00746492"/>
    <w:rsid w:val="00746997"/>
    <w:rsid w:val="00750C26"/>
    <w:rsid w:val="007603BB"/>
    <w:rsid w:val="0076196F"/>
    <w:rsid w:val="00762F8B"/>
    <w:rsid w:val="00763A02"/>
    <w:rsid w:val="0076487E"/>
    <w:rsid w:val="007700CC"/>
    <w:rsid w:val="007752B0"/>
    <w:rsid w:val="007753DE"/>
    <w:rsid w:val="007757D8"/>
    <w:rsid w:val="007763A2"/>
    <w:rsid w:val="00777C1F"/>
    <w:rsid w:val="00777FF0"/>
    <w:rsid w:val="00780C90"/>
    <w:rsid w:val="00793960"/>
    <w:rsid w:val="007968D8"/>
    <w:rsid w:val="00796C7A"/>
    <w:rsid w:val="00796CBA"/>
    <w:rsid w:val="007A1E81"/>
    <w:rsid w:val="007A6345"/>
    <w:rsid w:val="007B0B0B"/>
    <w:rsid w:val="007B2995"/>
    <w:rsid w:val="007B3C57"/>
    <w:rsid w:val="007C08E9"/>
    <w:rsid w:val="007C21AE"/>
    <w:rsid w:val="007C2E34"/>
    <w:rsid w:val="007C4952"/>
    <w:rsid w:val="007D1F2C"/>
    <w:rsid w:val="007E2047"/>
    <w:rsid w:val="007E2AD9"/>
    <w:rsid w:val="007E4AE4"/>
    <w:rsid w:val="007E4DC3"/>
    <w:rsid w:val="007E4EDC"/>
    <w:rsid w:val="007E67F3"/>
    <w:rsid w:val="007E6C3C"/>
    <w:rsid w:val="007F369F"/>
    <w:rsid w:val="007F7516"/>
    <w:rsid w:val="00810B02"/>
    <w:rsid w:val="00811B2E"/>
    <w:rsid w:val="008151E2"/>
    <w:rsid w:val="00821DBE"/>
    <w:rsid w:val="00822ED2"/>
    <w:rsid w:val="00824038"/>
    <w:rsid w:val="00826787"/>
    <w:rsid w:val="00831252"/>
    <w:rsid w:val="00832394"/>
    <w:rsid w:val="00832CD3"/>
    <w:rsid w:val="00832F86"/>
    <w:rsid w:val="0083526E"/>
    <w:rsid w:val="00835545"/>
    <w:rsid w:val="008422F7"/>
    <w:rsid w:val="0084292D"/>
    <w:rsid w:val="00843093"/>
    <w:rsid w:val="00843322"/>
    <w:rsid w:val="00843E13"/>
    <w:rsid w:val="0084675A"/>
    <w:rsid w:val="00847829"/>
    <w:rsid w:val="00850348"/>
    <w:rsid w:val="00851160"/>
    <w:rsid w:val="008512F8"/>
    <w:rsid w:val="00853CAD"/>
    <w:rsid w:val="00854D43"/>
    <w:rsid w:val="00857AFA"/>
    <w:rsid w:val="0086187D"/>
    <w:rsid w:val="0086312C"/>
    <w:rsid w:val="008638B1"/>
    <w:rsid w:val="00864982"/>
    <w:rsid w:val="00864E92"/>
    <w:rsid w:val="0087184A"/>
    <w:rsid w:val="00871C85"/>
    <w:rsid w:val="00873362"/>
    <w:rsid w:val="00874A76"/>
    <w:rsid w:val="00874F22"/>
    <w:rsid w:val="00874FB2"/>
    <w:rsid w:val="008756A0"/>
    <w:rsid w:val="00876609"/>
    <w:rsid w:val="00880F2E"/>
    <w:rsid w:val="008813BC"/>
    <w:rsid w:val="00882F1A"/>
    <w:rsid w:val="00884C18"/>
    <w:rsid w:val="00885864"/>
    <w:rsid w:val="00886241"/>
    <w:rsid w:val="00886560"/>
    <w:rsid w:val="00891B5F"/>
    <w:rsid w:val="008A05EC"/>
    <w:rsid w:val="008C00EF"/>
    <w:rsid w:val="008C0223"/>
    <w:rsid w:val="008C1818"/>
    <w:rsid w:val="008C3A16"/>
    <w:rsid w:val="008C5FB3"/>
    <w:rsid w:val="008C763A"/>
    <w:rsid w:val="008D0C26"/>
    <w:rsid w:val="008D0E94"/>
    <w:rsid w:val="008D2B8D"/>
    <w:rsid w:val="008D47E1"/>
    <w:rsid w:val="008D5B68"/>
    <w:rsid w:val="008E199E"/>
    <w:rsid w:val="008E39C8"/>
    <w:rsid w:val="008E4D94"/>
    <w:rsid w:val="008E4EF3"/>
    <w:rsid w:val="008F1509"/>
    <w:rsid w:val="008F1D42"/>
    <w:rsid w:val="008F5840"/>
    <w:rsid w:val="008F5D88"/>
    <w:rsid w:val="008F76F0"/>
    <w:rsid w:val="008F78CE"/>
    <w:rsid w:val="00904AA0"/>
    <w:rsid w:val="00905F23"/>
    <w:rsid w:val="00910273"/>
    <w:rsid w:val="009125E6"/>
    <w:rsid w:val="00913903"/>
    <w:rsid w:val="00915423"/>
    <w:rsid w:val="009161CF"/>
    <w:rsid w:val="009165F8"/>
    <w:rsid w:val="00921875"/>
    <w:rsid w:val="00921CEE"/>
    <w:rsid w:val="00923A48"/>
    <w:rsid w:val="00925B88"/>
    <w:rsid w:val="00925B94"/>
    <w:rsid w:val="00926208"/>
    <w:rsid w:val="0093073C"/>
    <w:rsid w:val="009343E4"/>
    <w:rsid w:val="009352F0"/>
    <w:rsid w:val="00935845"/>
    <w:rsid w:val="00942068"/>
    <w:rsid w:val="00944371"/>
    <w:rsid w:val="00944704"/>
    <w:rsid w:val="00946314"/>
    <w:rsid w:val="009478B2"/>
    <w:rsid w:val="009501D5"/>
    <w:rsid w:val="009536CB"/>
    <w:rsid w:val="00956B49"/>
    <w:rsid w:val="0096109E"/>
    <w:rsid w:val="00961A31"/>
    <w:rsid w:val="00963BE2"/>
    <w:rsid w:val="009663C6"/>
    <w:rsid w:val="00971144"/>
    <w:rsid w:val="00971A17"/>
    <w:rsid w:val="00980FAC"/>
    <w:rsid w:val="009810C2"/>
    <w:rsid w:val="00981C7C"/>
    <w:rsid w:val="00982BA0"/>
    <w:rsid w:val="009832FA"/>
    <w:rsid w:val="00984A6F"/>
    <w:rsid w:val="00987D02"/>
    <w:rsid w:val="00990DF7"/>
    <w:rsid w:val="00990FB7"/>
    <w:rsid w:val="00994070"/>
    <w:rsid w:val="00994CE2"/>
    <w:rsid w:val="00997B01"/>
    <w:rsid w:val="009A0572"/>
    <w:rsid w:val="009A245A"/>
    <w:rsid w:val="009A34CE"/>
    <w:rsid w:val="009A4654"/>
    <w:rsid w:val="009A51F4"/>
    <w:rsid w:val="009B19C2"/>
    <w:rsid w:val="009B500A"/>
    <w:rsid w:val="009C230B"/>
    <w:rsid w:val="009C390D"/>
    <w:rsid w:val="009C3B80"/>
    <w:rsid w:val="009C46FB"/>
    <w:rsid w:val="009C5CF6"/>
    <w:rsid w:val="009C61CC"/>
    <w:rsid w:val="009C6EB9"/>
    <w:rsid w:val="009C74F3"/>
    <w:rsid w:val="009D4862"/>
    <w:rsid w:val="009E1C04"/>
    <w:rsid w:val="009E2600"/>
    <w:rsid w:val="009E2FEB"/>
    <w:rsid w:val="009E34C6"/>
    <w:rsid w:val="009E3AEE"/>
    <w:rsid w:val="009E7A9B"/>
    <w:rsid w:val="009F0321"/>
    <w:rsid w:val="009F0774"/>
    <w:rsid w:val="009F1B18"/>
    <w:rsid w:val="009F2B4F"/>
    <w:rsid w:val="009F4FE1"/>
    <w:rsid w:val="009F53FF"/>
    <w:rsid w:val="00A008D6"/>
    <w:rsid w:val="00A03F33"/>
    <w:rsid w:val="00A04428"/>
    <w:rsid w:val="00A0607B"/>
    <w:rsid w:val="00A07142"/>
    <w:rsid w:val="00A11AB4"/>
    <w:rsid w:val="00A12F6F"/>
    <w:rsid w:val="00A13966"/>
    <w:rsid w:val="00A16A68"/>
    <w:rsid w:val="00A17565"/>
    <w:rsid w:val="00A20AB1"/>
    <w:rsid w:val="00A20E91"/>
    <w:rsid w:val="00A20EDA"/>
    <w:rsid w:val="00A2170E"/>
    <w:rsid w:val="00A21AB7"/>
    <w:rsid w:val="00A22C4B"/>
    <w:rsid w:val="00A25E2B"/>
    <w:rsid w:val="00A263F3"/>
    <w:rsid w:val="00A26C49"/>
    <w:rsid w:val="00A300D8"/>
    <w:rsid w:val="00A303CA"/>
    <w:rsid w:val="00A3150B"/>
    <w:rsid w:val="00A373DC"/>
    <w:rsid w:val="00A41387"/>
    <w:rsid w:val="00A4590F"/>
    <w:rsid w:val="00A47C27"/>
    <w:rsid w:val="00A47F3E"/>
    <w:rsid w:val="00A5006A"/>
    <w:rsid w:val="00A53160"/>
    <w:rsid w:val="00A60447"/>
    <w:rsid w:val="00A64868"/>
    <w:rsid w:val="00A64B35"/>
    <w:rsid w:val="00A6510F"/>
    <w:rsid w:val="00A67B87"/>
    <w:rsid w:val="00A71508"/>
    <w:rsid w:val="00A75BDC"/>
    <w:rsid w:val="00A76BD3"/>
    <w:rsid w:val="00A81648"/>
    <w:rsid w:val="00A81A3B"/>
    <w:rsid w:val="00A826BC"/>
    <w:rsid w:val="00A845C9"/>
    <w:rsid w:val="00A8479B"/>
    <w:rsid w:val="00A84EFD"/>
    <w:rsid w:val="00A90249"/>
    <w:rsid w:val="00A90641"/>
    <w:rsid w:val="00AA16DF"/>
    <w:rsid w:val="00AA179D"/>
    <w:rsid w:val="00AA2720"/>
    <w:rsid w:val="00AA37F2"/>
    <w:rsid w:val="00AA3B73"/>
    <w:rsid w:val="00AA68AD"/>
    <w:rsid w:val="00AA6EA7"/>
    <w:rsid w:val="00AA7EBE"/>
    <w:rsid w:val="00AB359D"/>
    <w:rsid w:val="00AB4560"/>
    <w:rsid w:val="00AB7394"/>
    <w:rsid w:val="00AB7EB0"/>
    <w:rsid w:val="00AC0439"/>
    <w:rsid w:val="00AC12C8"/>
    <w:rsid w:val="00AC2139"/>
    <w:rsid w:val="00AC41E4"/>
    <w:rsid w:val="00AC4B64"/>
    <w:rsid w:val="00AC507C"/>
    <w:rsid w:val="00AD2047"/>
    <w:rsid w:val="00AD2E3D"/>
    <w:rsid w:val="00AD4A45"/>
    <w:rsid w:val="00AD66D4"/>
    <w:rsid w:val="00AD738D"/>
    <w:rsid w:val="00AE0995"/>
    <w:rsid w:val="00AE7924"/>
    <w:rsid w:val="00AF0F94"/>
    <w:rsid w:val="00AF20DF"/>
    <w:rsid w:val="00AF3687"/>
    <w:rsid w:val="00AF3E52"/>
    <w:rsid w:val="00AF41C5"/>
    <w:rsid w:val="00AF4E5E"/>
    <w:rsid w:val="00AF6DB9"/>
    <w:rsid w:val="00B013BC"/>
    <w:rsid w:val="00B04D09"/>
    <w:rsid w:val="00B10196"/>
    <w:rsid w:val="00B10251"/>
    <w:rsid w:val="00B12C8E"/>
    <w:rsid w:val="00B157C7"/>
    <w:rsid w:val="00B15BC0"/>
    <w:rsid w:val="00B15C8D"/>
    <w:rsid w:val="00B15DF4"/>
    <w:rsid w:val="00B20281"/>
    <w:rsid w:val="00B2183D"/>
    <w:rsid w:val="00B218F7"/>
    <w:rsid w:val="00B22427"/>
    <w:rsid w:val="00B237EC"/>
    <w:rsid w:val="00B23CE1"/>
    <w:rsid w:val="00B30313"/>
    <w:rsid w:val="00B31042"/>
    <w:rsid w:val="00B311F2"/>
    <w:rsid w:val="00B32A17"/>
    <w:rsid w:val="00B34A3A"/>
    <w:rsid w:val="00B36549"/>
    <w:rsid w:val="00B42A91"/>
    <w:rsid w:val="00B45176"/>
    <w:rsid w:val="00B4567A"/>
    <w:rsid w:val="00B46B0B"/>
    <w:rsid w:val="00B46D6C"/>
    <w:rsid w:val="00B502B3"/>
    <w:rsid w:val="00B50509"/>
    <w:rsid w:val="00B52E6A"/>
    <w:rsid w:val="00B540FE"/>
    <w:rsid w:val="00B54243"/>
    <w:rsid w:val="00B55C0D"/>
    <w:rsid w:val="00B56097"/>
    <w:rsid w:val="00B561B1"/>
    <w:rsid w:val="00B578BF"/>
    <w:rsid w:val="00B60E6C"/>
    <w:rsid w:val="00B72A0F"/>
    <w:rsid w:val="00B72BD6"/>
    <w:rsid w:val="00B76BB7"/>
    <w:rsid w:val="00B77136"/>
    <w:rsid w:val="00B8083E"/>
    <w:rsid w:val="00B80891"/>
    <w:rsid w:val="00B817B4"/>
    <w:rsid w:val="00B858B8"/>
    <w:rsid w:val="00B86B60"/>
    <w:rsid w:val="00B87635"/>
    <w:rsid w:val="00B90939"/>
    <w:rsid w:val="00B90BED"/>
    <w:rsid w:val="00B90DE8"/>
    <w:rsid w:val="00B91651"/>
    <w:rsid w:val="00B93EED"/>
    <w:rsid w:val="00B950FD"/>
    <w:rsid w:val="00B96052"/>
    <w:rsid w:val="00BA10D5"/>
    <w:rsid w:val="00BA1726"/>
    <w:rsid w:val="00BA1DAF"/>
    <w:rsid w:val="00BA52BA"/>
    <w:rsid w:val="00BA544B"/>
    <w:rsid w:val="00BA7955"/>
    <w:rsid w:val="00BA7CD5"/>
    <w:rsid w:val="00BB2352"/>
    <w:rsid w:val="00BB27A8"/>
    <w:rsid w:val="00BB3326"/>
    <w:rsid w:val="00BB42DE"/>
    <w:rsid w:val="00BB5565"/>
    <w:rsid w:val="00BB708F"/>
    <w:rsid w:val="00BC46FC"/>
    <w:rsid w:val="00BC618D"/>
    <w:rsid w:val="00BC634A"/>
    <w:rsid w:val="00BD07D1"/>
    <w:rsid w:val="00BD2D2C"/>
    <w:rsid w:val="00BD2D6F"/>
    <w:rsid w:val="00BD326C"/>
    <w:rsid w:val="00BD57C9"/>
    <w:rsid w:val="00BD6381"/>
    <w:rsid w:val="00BD65E6"/>
    <w:rsid w:val="00BD673E"/>
    <w:rsid w:val="00BD7E31"/>
    <w:rsid w:val="00BE0551"/>
    <w:rsid w:val="00BE2FBE"/>
    <w:rsid w:val="00BE3EB9"/>
    <w:rsid w:val="00BE53BF"/>
    <w:rsid w:val="00BE73C7"/>
    <w:rsid w:val="00BF21C3"/>
    <w:rsid w:val="00BF3B0C"/>
    <w:rsid w:val="00BF3E08"/>
    <w:rsid w:val="00BF643E"/>
    <w:rsid w:val="00C006E9"/>
    <w:rsid w:val="00C00C78"/>
    <w:rsid w:val="00C019B0"/>
    <w:rsid w:val="00C02AD2"/>
    <w:rsid w:val="00C02B0B"/>
    <w:rsid w:val="00C0335A"/>
    <w:rsid w:val="00C04435"/>
    <w:rsid w:val="00C0692B"/>
    <w:rsid w:val="00C07E20"/>
    <w:rsid w:val="00C11320"/>
    <w:rsid w:val="00C15746"/>
    <w:rsid w:val="00C15CD6"/>
    <w:rsid w:val="00C2577A"/>
    <w:rsid w:val="00C259CB"/>
    <w:rsid w:val="00C30759"/>
    <w:rsid w:val="00C3117D"/>
    <w:rsid w:val="00C328EC"/>
    <w:rsid w:val="00C33082"/>
    <w:rsid w:val="00C33B73"/>
    <w:rsid w:val="00C35CC4"/>
    <w:rsid w:val="00C37533"/>
    <w:rsid w:val="00C37AC0"/>
    <w:rsid w:val="00C40527"/>
    <w:rsid w:val="00C41BF4"/>
    <w:rsid w:val="00C42178"/>
    <w:rsid w:val="00C42499"/>
    <w:rsid w:val="00C425D6"/>
    <w:rsid w:val="00C432A8"/>
    <w:rsid w:val="00C44D6A"/>
    <w:rsid w:val="00C46ED1"/>
    <w:rsid w:val="00C47129"/>
    <w:rsid w:val="00C47B62"/>
    <w:rsid w:val="00C50A5D"/>
    <w:rsid w:val="00C51196"/>
    <w:rsid w:val="00C52014"/>
    <w:rsid w:val="00C53147"/>
    <w:rsid w:val="00C53958"/>
    <w:rsid w:val="00C53A16"/>
    <w:rsid w:val="00C53CF3"/>
    <w:rsid w:val="00C54419"/>
    <w:rsid w:val="00C551F3"/>
    <w:rsid w:val="00C5565B"/>
    <w:rsid w:val="00C559DA"/>
    <w:rsid w:val="00C5689C"/>
    <w:rsid w:val="00C60338"/>
    <w:rsid w:val="00C624D6"/>
    <w:rsid w:val="00C643F6"/>
    <w:rsid w:val="00C65092"/>
    <w:rsid w:val="00C70003"/>
    <w:rsid w:val="00C72529"/>
    <w:rsid w:val="00C74800"/>
    <w:rsid w:val="00C81E44"/>
    <w:rsid w:val="00C850AB"/>
    <w:rsid w:val="00C8626F"/>
    <w:rsid w:val="00C90E50"/>
    <w:rsid w:val="00C91511"/>
    <w:rsid w:val="00C9213F"/>
    <w:rsid w:val="00C92571"/>
    <w:rsid w:val="00C9288A"/>
    <w:rsid w:val="00C92A63"/>
    <w:rsid w:val="00C92FDD"/>
    <w:rsid w:val="00C9514B"/>
    <w:rsid w:val="00C9593A"/>
    <w:rsid w:val="00C95F99"/>
    <w:rsid w:val="00CA3161"/>
    <w:rsid w:val="00CA4EE5"/>
    <w:rsid w:val="00CA6F02"/>
    <w:rsid w:val="00CB46A1"/>
    <w:rsid w:val="00CB5DC6"/>
    <w:rsid w:val="00CB7024"/>
    <w:rsid w:val="00CB7531"/>
    <w:rsid w:val="00CC086E"/>
    <w:rsid w:val="00CC11AF"/>
    <w:rsid w:val="00CC5464"/>
    <w:rsid w:val="00CC798C"/>
    <w:rsid w:val="00CC7F49"/>
    <w:rsid w:val="00CD1B32"/>
    <w:rsid w:val="00CD1D57"/>
    <w:rsid w:val="00CD53A4"/>
    <w:rsid w:val="00CD5F6C"/>
    <w:rsid w:val="00CE2A15"/>
    <w:rsid w:val="00CE465D"/>
    <w:rsid w:val="00CE4CC0"/>
    <w:rsid w:val="00CE60D1"/>
    <w:rsid w:val="00D0047C"/>
    <w:rsid w:val="00D008FD"/>
    <w:rsid w:val="00D01A56"/>
    <w:rsid w:val="00D01C64"/>
    <w:rsid w:val="00D0286C"/>
    <w:rsid w:val="00D033CD"/>
    <w:rsid w:val="00D05989"/>
    <w:rsid w:val="00D05BB5"/>
    <w:rsid w:val="00D07899"/>
    <w:rsid w:val="00D106A6"/>
    <w:rsid w:val="00D12F07"/>
    <w:rsid w:val="00D14520"/>
    <w:rsid w:val="00D1574C"/>
    <w:rsid w:val="00D17D8A"/>
    <w:rsid w:val="00D21DC2"/>
    <w:rsid w:val="00D222B0"/>
    <w:rsid w:val="00D22873"/>
    <w:rsid w:val="00D263A7"/>
    <w:rsid w:val="00D31D42"/>
    <w:rsid w:val="00D333D5"/>
    <w:rsid w:val="00D344E1"/>
    <w:rsid w:val="00D3550B"/>
    <w:rsid w:val="00D362A4"/>
    <w:rsid w:val="00D4169A"/>
    <w:rsid w:val="00D445DC"/>
    <w:rsid w:val="00D5273A"/>
    <w:rsid w:val="00D54BC4"/>
    <w:rsid w:val="00D54F8C"/>
    <w:rsid w:val="00D550DC"/>
    <w:rsid w:val="00D55ABC"/>
    <w:rsid w:val="00D55C95"/>
    <w:rsid w:val="00D56565"/>
    <w:rsid w:val="00D57E2A"/>
    <w:rsid w:val="00D63A6F"/>
    <w:rsid w:val="00D65EBA"/>
    <w:rsid w:val="00D6711B"/>
    <w:rsid w:val="00D67204"/>
    <w:rsid w:val="00D703F4"/>
    <w:rsid w:val="00D7044A"/>
    <w:rsid w:val="00D71D18"/>
    <w:rsid w:val="00D72418"/>
    <w:rsid w:val="00D74D35"/>
    <w:rsid w:val="00D763E6"/>
    <w:rsid w:val="00D77C0F"/>
    <w:rsid w:val="00D77C74"/>
    <w:rsid w:val="00D81D0A"/>
    <w:rsid w:val="00D872F0"/>
    <w:rsid w:val="00D8746E"/>
    <w:rsid w:val="00D910D8"/>
    <w:rsid w:val="00D926DC"/>
    <w:rsid w:val="00D94C02"/>
    <w:rsid w:val="00D963FD"/>
    <w:rsid w:val="00D96AA5"/>
    <w:rsid w:val="00D9775F"/>
    <w:rsid w:val="00D97A12"/>
    <w:rsid w:val="00DA2656"/>
    <w:rsid w:val="00DA2F94"/>
    <w:rsid w:val="00DA774E"/>
    <w:rsid w:val="00DB0639"/>
    <w:rsid w:val="00DB174A"/>
    <w:rsid w:val="00DB1C2B"/>
    <w:rsid w:val="00DB2DE2"/>
    <w:rsid w:val="00DB5ED0"/>
    <w:rsid w:val="00DB6AC0"/>
    <w:rsid w:val="00DB7987"/>
    <w:rsid w:val="00DC0003"/>
    <w:rsid w:val="00DC396F"/>
    <w:rsid w:val="00DC3C1A"/>
    <w:rsid w:val="00DC5719"/>
    <w:rsid w:val="00DC62B2"/>
    <w:rsid w:val="00DC6665"/>
    <w:rsid w:val="00DC7C05"/>
    <w:rsid w:val="00DD0687"/>
    <w:rsid w:val="00DD124A"/>
    <w:rsid w:val="00DD1AD5"/>
    <w:rsid w:val="00DD36A6"/>
    <w:rsid w:val="00DD6155"/>
    <w:rsid w:val="00DE1E49"/>
    <w:rsid w:val="00DE2A22"/>
    <w:rsid w:val="00DE4A2D"/>
    <w:rsid w:val="00DE4B4D"/>
    <w:rsid w:val="00DE5656"/>
    <w:rsid w:val="00DE6091"/>
    <w:rsid w:val="00DF0CD3"/>
    <w:rsid w:val="00DF184D"/>
    <w:rsid w:val="00DF2547"/>
    <w:rsid w:val="00DF3139"/>
    <w:rsid w:val="00DF4BD6"/>
    <w:rsid w:val="00DF5202"/>
    <w:rsid w:val="00DF5C87"/>
    <w:rsid w:val="00DF6AE7"/>
    <w:rsid w:val="00E00630"/>
    <w:rsid w:val="00E0103F"/>
    <w:rsid w:val="00E014EB"/>
    <w:rsid w:val="00E01931"/>
    <w:rsid w:val="00E01C30"/>
    <w:rsid w:val="00E024B4"/>
    <w:rsid w:val="00E030B5"/>
    <w:rsid w:val="00E071EB"/>
    <w:rsid w:val="00E10737"/>
    <w:rsid w:val="00E11950"/>
    <w:rsid w:val="00E129E3"/>
    <w:rsid w:val="00E12B2B"/>
    <w:rsid w:val="00E1332B"/>
    <w:rsid w:val="00E16094"/>
    <w:rsid w:val="00E172CC"/>
    <w:rsid w:val="00E21372"/>
    <w:rsid w:val="00E21569"/>
    <w:rsid w:val="00E215D8"/>
    <w:rsid w:val="00E22AFD"/>
    <w:rsid w:val="00E23462"/>
    <w:rsid w:val="00E2381F"/>
    <w:rsid w:val="00E24334"/>
    <w:rsid w:val="00E24E7A"/>
    <w:rsid w:val="00E25E9C"/>
    <w:rsid w:val="00E262EE"/>
    <w:rsid w:val="00E308CB"/>
    <w:rsid w:val="00E331EB"/>
    <w:rsid w:val="00E33A9D"/>
    <w:rsid w:val="00E33B3F"/>
    <w:rsid w:val="00E3556C"/>
    <w:rsid w:val="00E360AD"/>
    <w:rsid w:val="00E41DA7"/>
    <w:rsid w:val="00E41F46"/>
    <w:rsid w:val="00E4206B"/>
    <w:rsid w:val="00E42644"/>
    <w:rsid w:val="00E43481"/>
    <w:rsid w:val="00E470BF"/>
    <w:rsid w:val="00E514A4"/>
    <w:rsid w:val="00E5211A"/>
    <w:rsid w:val="00E52305"/>
    <w:rsid w:val="00E52C77"/>
    <w:rsid w:val="00E5313D"/>
    <w:rsid w:val="00E54A2F"/>
    <w:rsid w:val="00E62109"/>
    <w:rsid w:val="00E62751"/>
    <w:rsid w:val="00E66574"/>
    <w:rsid w:val="00E67DA4"/>
    <w:rsid w:val="00E714B6"/>
    <w:rsid w:val="00E72E83"/>
    <w:rsid w:val="00E739A3"/>
    <w:rsid w:val="00E763EF"/>
    <w:rsid w:val="00E76856"/>
    <w:rsid w:val="00E77943"/>
    <w:rsid w:val="00E80BF9"/>
    <w:rsid w:val="00E82837"/>
    <w:rsid w:val="00E85668"/>
    <w:rsid w:val="00E92B14"/>
    <w:rsid w:val="00E94D46"/>
    <w:rsid w:val="00E952EF"/>
    <w:rsid w:val="00E96417"/>
    <w:rsid w:val="00E97C8F"/>
    <w:rsid w:val="00EA0C4A"/>
    <w:rsid w:val="00EA3F6F"/>
    <w:rsid w:val="00EA4BA3"/>
    <w:rsid w:val="00EA6CCE"/>
    <w:rsid w:val="00EB2235"/>
    <w:rsid w:val="00EB2D4C"/>
    <w:rsid w:val="00EB464F"/>
    <w:rsid w:val="00EB5069"/>
    <w:rsid w:val="00EC0D39"/>
    <w:rsid w:val="00EC3932"/>
    <w:rsid w:val="00EC6137"/>
    <w:rsid w:val="00EC6A2B"/>
    <w:rsid w:val="00ED025B"/>
    <w:rsid w:val="00ED26C0"/>
    <w:rsid w:val="00ED3C43"/>
    <w:rsid w:val="00ED7815"/>
    <w:rsid w:val="00EE0530"/>
    <w:rsid w:val="00EE20D3"/>
    <w:rsid w:val="00EE2ADC"/>
    <w:rsid w:val="00EE3918"/>
    <w:rsid w:val="00EE3BF0"/>
    <w:rsid w:val="00EE4E30"/>
    <w:rsid w:val="00EE59AE"/>
    <w:rsid w:val="00EF009A"/>
    <w:rsid w:val="00EF1008"/>
    <w:rsid w:val="00EF225F"/>
    <w:rsid w:val="00EF2635"/>
    <w:rsid w:val="00EF3591"/>
    <w:rsid w:val="00EF3BAA"/>
    <w:rsid w:val="00EF497E"/>
    <w:rsid w:val="00F006AA"/>
    <w:rsid w:val="00F01DB0"/>
    <w:rsid w:val="00F04051"/>
    <w:rsid w:val="00F07BA0"/>
    <w:rsid w:val="00F1154E"/>
    <w:rsid w:val="00F1274C"/>
    <w:rsid w:val="00F13AA2"/>
    <w:rsid w:val="00F1799D"/>
    <w:rsid w:val="00F20AFA"/>
    <w:rsid w:val="00F21916"/>
    <w:rsid w:val="00F219F2"/>
    <w:rsid w:val="00F229E6"/>
    <w:rsid w:val="00F2391F"/>
    <w:rsid w:val="00F26BE5"/>
    <w:rsid w:val="00F30DC8"/>
    <w:rsid w:val="00F30E53"/>
    <w:rsid w:val="00F31483"/>
    <w:rsid w:val="00F33CD2"/>
    <w:rsid w:val="00F34B3B"/>
    <w:rsid w:val="00F4280A"/>
    <w:rsid w:val="00F42EB2"/>
    <w:rsid w:val="00F43E7B"/>
    <w:rsid w:val="00F442D9"/>
    <w:rsid w:val="00F47A98"/>
    <w:rsid w:val="00F506AC"/>
    <w:rsid w:val="00F52355"/>
    <w:rsid w:val="00F5249F"/>
    <w:rsid w:val="00F5441C"/>
    <w:rsid w:val="00F54B9B"/>
    <w:rsid w:val="00F575C0"/>
    <w:rsid w:val="00F57D54"/>
    <w:rsid w:val="00F62810"/>
    <w:rsid w:val="00F6281F"/>
    <w:rsid w:val="00F63F2F"/>
    <w:rsid w:val="00F7024A"/>
    <w:rsid w:val="00F7258A"/>
    <w:rsid w:val="00F72F1F"/>
    <w:rsid w:val="00F74439"/>
    <w:rsid w:val="00F74AA0"/>
    <w:rsid w:val="00F805B8"/>
    <w:rsid w:val="00F83FB0"/>
    <w:rsid w:val="00F8660C"/>
    <w:rsid w:val="00F86D17"/>
    <w:rsid w:val="00F87299"/>
    <w:rsid w:val="00F90AEC"/>
    <w:rsid w:val="00F91CFC"/>
    <w:rsid w:val="00F91ECC"/>
    <w:rsid w:val="00F9298E"/>
    <w:rsid w:val="00F934D6"/>
    <w:rsid w:val="00F93D37"/>
    <w:rsid w:val="00F94788"/>
    <w:rsid w:val="00F948A8"/>
    <w:rsid w:val="00F95DB4"/>
    <w:rsid w:val="00F95E94"/>
    <w:rsid w:val="00FA4705"/>
    <w:rsid w:val="00FA52D7"/>
    <w:rsid w:val="00FA6822"/>
    <w:rsid w:val="00FA6FC8"/>
    <w:rsid w:val="00FB094C"/>
    <w:rsid w:val="00FB361B"/>
    <w:rsid w:val="00FB3DE4"/>
    <w:rsid w:val="00FB6708"/>
    <w:rsid w:val="00FB70BC"/>
    <w:rsid w:val="00FD2F76"/>
    <w:rsid w:val="00FD33A7"/>
    <w:rsid w:val="00FD36C8"/>
    <w:rsid w:val="00FD6221"/>
    <w:rsid w:val="00FE0224"/>
    <w:rsid w:val="00FE0588"/>
    <w:rsid w:val="00FE118C"/>
    <w:rsid w:val="00FE1ABD"/>
    <w:rsid w:val="00FE502B"/>
    <w:rsid w:val="00FE631B"/>
    <w:rsid w:val="00FE6574"/>
    <w:rsid w:val="00FE6BB1"/>
    <w:rsid w:val="00FE7DC9"/>
    <w:rsid w:val="00FE7F2F"/>
    <w:rsid w:val="00FF0DF0"/>
    <w:rsid w:val="00FF69C9"/>
    <w:rsid w:val="00FF747B"/>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3505" style="mso-position-horizontal-relative:margin;mso-position-vertical-relative:page" fillcolor="white" strokecolor="#036">
      <v:fill color="white"/>
      <v:stroke color="#036" weight=".5pt"/>
      <v:textbox inset="1.44pt,2.16pt,1.44pt,1.44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C8"/>
    <w:pPr>
      <w:spacing w:before="60" w:after="180"/>
    </w:pPr>
    <w:rPr>
      <w:sz w:val="22"/>
      <w:szCs w:val="24"/>
    </w:rPr>
  </w:style>
  <w:style w:type="paragraph" w:styleId="Heading1">
    <w:name w:val="heading 1"/>
    <w:basedOn w:val="Normal"/>
    <w:next w:val="BodyText"/>
    <w:qFormat/>
    <w:pPr>
      <w:keepNext/>
      <w:spacing w:before="720" w:after="0"/>
      <w:outlineLvl w:val="0"/>
    </w:pPr>
    <w:rPr>
      <w:rFonts w:ascii="Arial Narrow" w:hAnsi="Arial Narrow"/>
      <w:color w:val="003366"/>
      <w:sz w:val="48"/>
    </w:rPr>
  </w:style>
  <w:style w:type="paragraph" w:styleId="Heading2">
    <w:name w:val="heading 2"/>
    <w:basedOn w:val="Normal"/>
    <w:next w:val="BodyText"/>
    <w:uiPriority w:val="99"/>
    <w:qFormat/>
    <w:pPr>
      <w:keepNext/>
      <w:spacing w:before="480" w:after="120"/>
      <w:outlineLvl w:val="1"/>
    </w:pPr>
    <w:rPr>
      <w:rFonts w:ascii="Arial Narrow" w:hAnsi="Arial Narrow"/>
      <w:b/>
      <w:bCs/>
      <w:color w:val="003366"/>
      <w:sz w:val="36"/>
    </w:rPr>
  </w:style>
  <w:style w:type="paragraph" w:styleId="Heading3">
    <w:name w:val="heading 3"/>
    <w:basedOn w:val="Heading2"/>
    <w:next w:val="BodyText"/>
    <w:uiPriority w:val="99"/>
    <w:qFormat/>
    <w:pPr>
      <w:spacing w:before="300"/>
      <w:outlineLvl w:val="2"/>
    </w:pPr>
    <w:rPr>
      <w:rFonts w:cs="Arial"/>
      <w:b w:val="0"/>
      <w:bCs w:val="0"/>
      <w:szCs w:val="36"/>
    </w:rPr>
  </w:style>
  <w:style w:type="paragraph" w:styleId="Heading4">
    <w:name w:val="heading 4"/>
    <w:basedOn w:val="Heading3"/>
    <w:next w:val="BodyText"/>
    <w:uiPriority w:val="99"/>
    <w:qFormat/>
    <w:pPr>
      <w:spacing w:before="240" w:after="60"/>
      <w:outlineLvl w:val="3"/>
    </w:pPr>
    <w:rPr>
      <w:b/>
      <w:bCs/>
      <w:sz w:val="30"/>
      <w:szCs w:val="30"/>
    </w:rPr>
  </w:style>
  <w:style w:type="paragraph" w:styleId="Heading5">
    <w:name w:val="heading 5"/>
    <w:basedOn w:val="Normal"/>
    <w:next w:val="BodyText"/>
    <w:link w:val="Heading5Char"/>
    <w:uiPriority w:val="99"/>
    <w:qFormat/>
    <w:pPr>
      <w:keepNext/>
      <w:spacing w:before="240" w:after="60"/>
      <w:outlineLvl w:val="4"/>
    </w:pPr>
    <w:rPr>
      <w:rFonts w:ascii="Arial Narrow" w:hAnsi="Arial Narrow"/>
      <w:bCs/>
      <w:color w:val="003366"/>
      <w:sz w:val="30"/>
      <w:szCs w:val="26"/>
    </w:rPr>
  </w:style>
  <w:style w:type="paragraph" w:styleId="Heading6">
    <w:name w:val="heading 6"/>
    <w:basedOn w:val="Normal"/>
    <w:next w:val="BodyText"/>
    <w:qFormat/>
    <w:pPr>
      <w:keepNext/>
      <w:spacing w:before="180" w:after="60"/>
      <w:outlineLvl w:val="5"/>
    </w:pPr>
    <w:rPr>
      <w:rFonts w:ascii="Arial Narrow" w:hAnsi="Arial Narrow"/>
      <w:b/>
      <w:color w:val="003366"/>
      <w:sz w:val="24"/>
      <w:szCs w:val="22"/>
    </w:rPr>
  </w:style>
  <w:style w:type="paragraph" w:styleId="Heading7">
    <w:name w:val="heading 7"/>
    <w:basedOn w:val="Heading6"/>
    <w:next w:val="Normal"/>
    <w:qFormat/>
    <w:pPr>
      <w:outlineLvl w:val="6"/>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EIS Body Text"/>
    <w:basedOn w:val="Normal"/>
    <w:link w:val="BodyTextChar5"/>
    <w:uiPriority w:val="99"/>
    <w:pPr>
      <w:spacing w:line="300" w:lineRule="atLeast"/>
    </w:pPr>
  </w:style>
  <w:style w:type="paragraph" w:customStyle="1" w:styleId="TableTitle">
    <w:name w:val="Table Title"/>
    <w:semiHidden/>
    <w:pPr>
      <w:keepNext/>
      <w:spacing w:before="240" w:after="120"/>
    </w:pPr>
    <w:rPr>
      <w:rFonts w:ascii="Arial Narrow" w:hAnsi="Arial Narrow"/>
      <w:b/>
      <w:color w:val="003366"/>
      <w:sz w:val="24"/>
    </w:rPr>
  </w:style>
  <w:style w:type="paragraph" w:customStyle="1" w:styleId="TableText">
    <w:name w:val="Table Text"/>
    <w:basedOn w:val="Normal"/>
    <w:link w:val="TableTextChar"/>
    <w:qFormat/>
    <w:pPr>
      <w:spacing w:before="80" w:after="80"/>
    </w:pPr>
    <w:rPr>
      <w:rFonts w:ascii="Arial" w:hAnsi="Arial" w:cs="Arial"/>
      <w:sz w:val="17"/>
      <w:szCs w:val="17"/>
    </w:rPr>
  </w:style>
  <w:style w:type="paragraph" w:styleId="Caption">
    <w:name w:val="caption"/>
    <w:basedOn w:val="Normal"/>
    <w:next w:val="Normal"/>
    <w:qFormat/>
    <w:pPr>
      <w:keepNext/>
      <w:tabs>
        <w:tab w:val="left" w:pos="1080"/>
      </w:tabs>
      <w:spacing w:before="300" w:after="60"/>
      <w:ind w:left="1080" w:hanging="1080"/>
    </w:pPr>
    <w:rPr>
      <w:rFonts w:ascii="Arial Narrow" w:hAnsi="Arial Narrow"/>
      <w:b/>
      <w:bCs/>
      <w:color w:val="003366"/>
      <w:sz w:val="24"/>
    </w:rPr>
  </w:style>
  <w:style w:type="character" w:styleId="Hyperlink">
    <w:name w:val="Hyperlink"/>
    <w:uiPriority w:val="99"/>
    <w:rPr>
      <w:color w:val="0000FF"/>
      <w:u w:val="single"/>
    </w:rPr>
  </w:style>
  <w:style w:type="character" w:styleId="PageNumber">
    <w:name w:val="page number"/>
    <w:semiHidden/>
    <w:rPr>
      <w:rFonts w:ascii="Arial Narrow" w:hAnsi="Arial Narrow"/>
      <w:b/>
      <w:bCs/>
      <w:color w:val="003366"/>
      <w:sz w:val="16"/>
    </w:rPr>
  </w:style>
  <w:style w:type="paragraph" w:styleId="Header">
    <w:name w:val="header"/>
    <w:basedOn w:val="Normal"/>
    <w:semiHidden/>
    <w:pPr>
      <w:tabs>
        <w:tab w:val="right" w:pos="7560"/>
      </w:tabs>
      <w:spacing w:after="60"/>
    </w:pPr>
    <w:rPr>
      <w:rFonts w:ascii="Arial Narrow" w:hAnsi="Arial Narrow"/>
      <w:b/>
      <w:color w:val="808080"/>
      <w:sz w:val="16"/>
    </w:rPr>
  </w:style>
  <w:style w:type="paragraph" w:styleId="Footer">
    <w:name w:val="footer"/>
    <w:basedOn w:val="Normal"/>
    <w:link w:val="FooterChar"/>
    <w:semiHidden/>
    <w:pPr>
      <w:pBdr>
        <w:top w:val="single" w:sz="4" w:space="1" w:color="003366"/>
      </w:pBdr>
      <w:tabs>
        <w:tab w:val="right" w:pos="7560"/>
      </w:tabs>
      <w:spacing w:after="60"/>
    </w:pPr>
    <w:rPr>
      <w:rFonts w:ascii="Arial Narrow" w:hAnsi="Arial Narrow"/>
      <w:b/>
      <w:color w:val="808080"/>
      <w:sz w:val="16"/>
    </w:rPr>
  </w:style>
  <w:style w:type="paragraph" w:customStyle="1" w:styleId="TableHeader">
    <w:name w:val="Table Header"/>
    <w:basedOn w:val="TableTitle"/>
    <w:pPr>
      <w:spacing w:before="60" w:after="60"/>
      <w:jc w:val="center"/>
    </w:pPr>
    <w:rPr>
      <w:sz w:val="20"/>
    </w:rPr>
  </w:style>
  <w:style w:type="paragraph" w:customStyle="1" w:styleId="TableNotes">
    <w:name w:val="Table Notes"/>
    <w:basedOn w:val="TableText"/>
    <w:pPr>
      <w:spacing w:before="60" w:after="60"/>
    </w:pPr>
    <w:rPr>
      <w:sz w:val="15"/>
      <w:szCs w:val="15"/>
    </w:rPr>
  </w:style>
  <w:style w:type="paragraph" w:styleId="Subtitle">
    <w:name w:val="Subtitle"/>
    <w:aliases w:val="Cover_Subtitle"/>
    <w:basedOn w:val="Normal"/>
    <w:qFormat/>
    <w:pPr>
      <w:spacing w:after="60"/>
      <w:ind w:left="153"/>
      <w:outlineLvl w:val="0"/>
    </w:pPr>
    <w:rPr>
      <w:rFonts w:ascii="Arial Narrow" w:hAnsi="Arial Narrow" w:cs="Arial"/>
      <w:noProof/>
      <w:color w:val="003366"/>
      <w:sz w:val="26"/>
      <w:szCs w:val="28"/>
    </w:rPr>
  </w:style>
  <w:style w:type="paragraph" w:styleId="FootnoteText">
    <w:name w:val="footnote text"/>
    <w:basedOn w:val="Normal"/>
    <w:link w:val="FootnoteTextChar"/>
    <w:uiPriority w:val="99"/>
    <w:pPr>
      <w:jc w:val="both"/>
    </w:pPr>
    <w:rPr>
      <w:rFonts w:ascii="Arial Narrow" w:hAnsi="Arial Narrow"/>
      <w:sz w:val="18"/>
    </w:rPr>
  </w:style>
  <w:style w:type="character" w:styleId="FootnoteReference">
    <w:name w:val="footnote reference"/>
    <w:uiPriority w:val="99"/>
    <w:rPr>
      <w:rFonts w:ascii="Arial Narrow" w:hAnsi="Arial Narrow"/>
      <w:sz w:val="16"/>
      <w:vertAlign w:val="superscript"/>
    </w:rPr>
  </w:style>
  <w:style w:type="paragraph" w:styleId="TOC3">
    <w:name w:val="toc 3"/>
    <w:basedOn w:val="TOC2"/>
    <w:next w:val="Normal"/>
    <w:uiPriority w:val="39"/>
    <w:rPr>
      <w:bCs w:val="0"/>
      <w:sz w:val="24"/>
    </w:rPr>
  </w:style>
  <w:style w:type="paragraph" w:styleId="TOC2">
    <w:name w:val="toc 2"/>
    <w:basedOn w:val="Normal"/>
    <w:next w:val="Normal"/>
    <w:uiPriority w:val="39"/>
    <w:pPr>
      <w:tabs>
        <w:tab w:val="right" w:leader="dot" w:pos="7560"/>
      </w:tabs>
      <w:spacing w:after="0"/>
    </w:pPr>
    <w:rPr>
      <w:rFonts w:ascii="Arial Narrow" w:hAnsi="Arial Narrow"/>
      <w:bCs/>
      <w:noProof/>
      <w:sz w:val="30"/>
    </w:rPr>
  </w:style>
  <w:style w:type="paragraph" w:styleId="BodyTextIndent">
    <w:name w:val="Body Text Indent"/>
    <w:basedOn w:val="Normal"/>
    <w:link w:val="BodyTextIndentChar4"/>
    <w:semiHidden/>
    <w:pPr>
      <w:spacing w:line="300" w:lineRule="exact"/>
      <w:ind w:left="720"/>
    </w:pPr>
  </w:style>
  <w:style w:type="paragraph" w:styleId="TOC4">
    <w:name w:val="toc 4"/>
    <w:basedOn w:val="Normal"/>
    <w:next w:val="Normal"/>
    <w:uiPriority w:val="39"/>
    <w:pPr>
      <w:ind w:left="660"/>
    </w:pPr>
  </w:style>
  <w:style w:type="paragraph" w:customStyle="1" w:styleId="Footerlandscape">
    <w:name w:val="Footer_landscape"/>
    <w:basedOn w:val="Footer"/>
    <w:pPr>
      <w:tabs>
        <w:tab w:val="clear" w:pos="7560"/>
        <w:tab w:val="right" w:pos="12960"/>
      </w:tabs>
    </w:pPr>
  </w:style>
  <w:style w:type="paragraph" w:customStyle="1" w:styleId="Headerlandscape">
    <w:name w:val="Header_landscape"/>
    <w:basedOn w:val="Header"/>
    <w:pPr>
      <w:tabs>
        <w:tab w:val="clear" w:pos="7560"/>
        <w:tab w:val="right" w:pos="12960"/>
      </w:tabs>
    </w:pPr>
  </w:style>
  <w:style w:type="paragraph" w:styleId="TOC1">
    <w:name w:val="toc 1"/>
    <w:basedOn w:val="Normal"/>
    <w:next w:val="Normal"/>
    <w:uiPriority w:val="39"/>
    <w:pPr>
      <w:tabs>
        <w:tab w:val="right" w:leader="dot" w:pos="7560"/>
      </w:tabs>
      <w:spacing w:before="240" w:after="60"/>
    </w:pPr>
    <w:rPr>
      <w:rFonts w:ascii="Arial Narrow" w:hAnsi="Arial Narrow"/>
      <w:b/>
      <w:noProof/>
      <w:color w:val="003366"/>
      <w:sz w:val="30"/>
      <w:szCs w:val="44"/>
    </w:rPr>
  </w:style>
  <w:style w:type="paragraph" w:styleId="TOC5">
    <w:name w:val="toc 5"/>
    <w:basedOn w:val="Normal"/>
    <w:next w:val="Normal"/>
    <w:uiPriority w:val="39"/>
    <w:pPr>
      <w:ind w:left="880"/>
    </w:pPr>
  </w:style>
  <w:style w:type="paragraph" w:styleId="TOC6">
    <w:name w:val="toc 6"/>
    <w:basedOn w:val="Normal"/>
    <w:next w:val="Normal"/>
    <w:uiPriority w:val="39"/>
    <w:pPr>
      <w:ind w:left="1100"/>
    </w:pPr>
  </w:style>
  <w:style w:type="paragraph" w:styleId="TOC7">
    <w:name w:val="toc 7"/>
    <w:basedOn w:val="Normal"/>
    <w:next w:val="Normal"/>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TOAHeading">
    <w:name w:val="toa heading"/>
    <w:basedOn w:val="Normal"/>
    <w:next w:val="TableofFigures"/>
    <w:semiHidden/>
    <w:pPr>
      <w:pBdr>
        <w:bottom w:val="single" w:sz="4" w:space="1" w:color="003366"/>
      </w:pBdr>
      <w:tabs>
        <w:tab w:val="right" w:pos="7560"/>
      </w:tabs>
      <w:spacing w:before="720"/>
    </w:pPr>
    <w:rPr>
      <w:rFonts w:ascii="Arial Narrow" w:hAnsi="Arial Narrow" w:cs="Arial"/>
      <w:bCs/>
      <w:color w:val="003366"/>
      <w:sz w:val="48"/>
    </w:rPr>
  </w:style>
  <w:style w:type="paragraph" w:styleId="TableofFigures">
    <w:name w:val="table of figures"/>
    <w:basedOn w:val="Normal"/>
    <w:next w:val="Normal"/>
    <w:uiPriority w:val="99"/>
    <w:pPr>
      <w:tabs>
        <w:tab w:val="left" w:pos="1080"/>
        <w:tab w:val="right" w:leader="dot" w:pos="7560"/>
      </w:tabs>
      <w:ind w:left="1080" w:hanging="1080"/>
    </w:pPr>
    <w:rPr>
      <w:rFonts w:ascii="Arial Narrow" w:hAnsi="Arial Narrow"/>
    </w:rPr>
  </w:style>
  <w:style w:type="paragraph" w:customStyle="1" w:styleId="Citation">
    <w:name w:val="Citation"/>
    <w:basedOn w:val="BodyText"/>
    <w:pPr>
      <w:ind w:left="720" w:hanging="720"/>
    </w:pPr>
  </w:style>
  <w:style w:type="paragraph" w:customStyle="1" w:styleId="FlySheet">
    <w:name w:val="Fly Sheet"/>
    <w:next w:val="FlySheetSubtitle"/>
    <w:pPr>
      <w:pBdr>
        <w:bottom w:val="single" w:sz="4" w:space="1" w:color="003366"/>
      </w:pBdr>
      <w:spacing w:before="6000"/>
      <w:jc w:val="right"/>
    </w:pPr>
    <w:rPr>
      <w:rFonts w:ascii="Arial Narrow" w:hAnsi="Arial Narrow"/>
      <w:color w:val="003366"/>
      <w:sz w:val="40"/>
    </w:rPr>
  </w:style>
  <w:style w:type="paragraph" w:customStyle="1" w:styleId="FlySheetSubtitle">
    <w:name w:val="Fly Sheet Subtitle"/>
    <w:basedOn w:val="Footer"/>
    <w:pPr>
      <w:pBdr>
        <w:top w:val="single" w:sz="8" w:space="1" w:color="003366"/>
      </w:pBdr>
      <w:spacing w:before="0"/>
      <w:jc w:val="right"/>
    </w:pPr>
    <w:rPr>
      <w:b w:val="0"/>
      <w:sz w:val="28"/>
    </w:rPr>
  </w:style>
  <w:style w:type="paragraph" w:styleId="ListBullet">
    <w:name w:val="List Bullet"/>
    <w:basedOn w:val="BodyText"/>
    <w:semiHidden/>
    <w:pPr>
      <w:numPr>
        <w:numId w:val="2"/>
      </w:numPr>
      <w:spacing w:after="120" w:line="260" w:lineRule="atLeast"/>
    </w:pPr>
  </w:style>
  <w:style w:type="paragraph" w:customStyle="1" w:styleId="ListBulletLast">
    <w:name w:val="List Bullet Last"/>
    <w:basedOn w:val="BodyText"/>
    <w:pPr>
      <w:numPr>
        <w:numId w:val="3"/>
      </w:numPr>
      <w:spacing w:line="260" w:lineRule="atLeast"/>
    </w:pPr>
  </w:style>
  <w:style w:type="paragraph" w:customStyle="1" w:styleId="Titlepagetitle">
    <w:name w:val="Title page title"/>
    <w:basedOn w:val="Normal"/>
    <w:next w:val="TitlepagePreparer"/>
    <w:semiHidden/>
    <w:pPr>
      <w:spacing w:before="0" w:after="0"/>
      <w:jc w:val="center"/>
    </w:pPr>
    <w:rPr>
      <w:rFonts w:ascii="Arial Narrow" w:hAnsi="Arial Narrow"/>
      <w:bCs/>
      <w:color w:val="003366"/>
      <w:sz w:val="36"/>
      <w:szCs w:val="20"/>
    </w:rPr>
  </w:style>
  <w:style w:type="paragraph" w:customStyle="1" w:styleId="TitlepagePreparer">
    <w:name w:val="Title page Preparer"/>
    <w:basedOn w:val="Normal"/>
    <w:semiHidden/>
    <w:pPr>
      <w:spacing w:before="0" w:after="0"/>
      <w:jc w:val="center"/>
    </w:pPr>
    <w:rPr>
      <w:rFonts w:ascii="Arial Narrow" w:hAnsi="Arial Narrow"/>
      <w:iCs/>
      <w:color w:val="003366"/>
      <w:szCs w:val="20"/>
    </w:rPr>
  </w:style>
  <w:style w:type="paragraph" w:styleId="ListNumber">
    <w:name w:val="List Number"/>
    <w:basedOn w:val="Normal"/>
    <w:semiHidden/>
    <w:pPr>
      <w:numPr>
        <w:numId w:val="4"/>
      </w:numPr>
      <w:spacing w:after="120" w:line="300" w:lineRule="exact"/>
    </w:pPr>
  </w:style>
  <w:style w:type="paragraph" w:customStyle="1" w:styleId="ListNumberlast">
    <w:name w:val="List Number last"/>
    <w:basedOn w:val="ListNumber"/>
    <w:semiHidden/>
    <w:pPr>
      <w:numPr>
        <w:numId w:val="5"/>
      </w:numPr>
      <w:tabs>
        <w:tab w:val="num" w:pos="720"/>
        <w:tab w:val="num" w:pos="1080"/>
      </w:tabs>
      <w:spacing w:after="240"/>
    </w:pPr>
  </w:style>
  <w:style w:type="paragraph" w:customStyle="1" w:styleId="VersoPage">
    <w:name w:val="Verso Page"/>
    <w:basedOn w:val="BodyText"/>
    <w:semiHidden/>
    <w:pPr>
      <w:spacing w:before="0" w:after="0" w:line="240" w:lineRule="auto"/>
      <w:ind w:left="180"/>
    </w:pPr>
    <w:rPr>
      <w:rFonts w:ascii="Arial Narrow" w:hAnsi="Arial Narrow"/>
      <w:sz w:val="20"/>
      <w:szCs w:val="20"/>
    </w:rPr>
  </w:style>
  <w:style w:type="paragraph" w:customStyle="1" w:styleId="Titlepagetext">
    <w:name w:val="Title page text"/>
    <w:basedOn w:val="Normal"/>
    <w:semiHidden/>
    <w:pPr>
      <w:spacing w:before="0" w:after="0"/>
      <w:jc w:val="center"/>
    </w:pPr>
    <w:rPr>
      <w:rFonts w:ascii="Arial Narrow" w:hAnsi="Arial Narrow"/>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aliases w:val="Cover_Title"/>
    <w:basedOn w:val="Normal"/>
    <w:qFormat/>
    <w:pPr>
      <w:spacing w:before="3200" w:after="0"/>
      <w:ind w:left="720"/>
      <w:outlineLvl w:val="0"/>
    </w:pPr>
    <w:rPr>
      <w:rFonts w:ascii="Arial Narrow" w:hAnsi="Arial Narrow" w:cs="Arial"/>
      <w:bCs/>
      <w:color w:val="FFFFFF"/>
      <w:kern w:val="28"/>
      <w:sz w:val="48"/>
      <w:szCs w:val="56"/>
    </w:rPr>
  </w:style>
  <w:style w:type="paragraph" w:customStyle="1" w:styleId="TableBullet">
    <w:name w:val="Table Bullet"/>
    <w:basedOn w:val="TableText"/>
    <w:pPr>
      <w:numPr>
        <w:numId w:val="1"/>
      </w:numPr>
      <w:tabs>
        <w:tab w:val="clear" w:pos="360"/>
        <w:tab w:val="left" w:pos="182"/>
      </w:tabs>
      <w:spacing w:before="40" w:after="40"/>
      <w:ind w:left="182" w:hanging="182"/>
    </w:pPr>
  </w:style>
  <w:style w:type="paragraph" w:customStyle="1" w:styleId="TitlepageSubtitle">
    <w:name w:val="Title page Subtitle"/>
    <w:basedOn w:val="Titlepagetitle"/>
    <w:semiHidden/>
    <w:rPr>
      <w:sz w:val="28"/>
    </w:rPr>
  </w:style>
  <w:style w:type="paragraph" w:customStyle="1" w:styleId="TableNotesLast">
    <w:name w:val="Table Notes Last"/>
    <w:basedOn w:val="TableNotes"/>
    <w:pPr>
      <w:spacing w:after="240"/>
    </w:pPr>
  </w:style>
  <w:style w:type="character" w:customStyle="1" w:styleId="BodyTextChar">
    <w:name w:val="Body Text Char"/>
    <w:rPr>
      <w:sz w:val="22"/>
      <w:szCs w:val="24"/>
    </w:rPr>
  </w:style>
  <w:style w:type="character" w:customStyle="1" w:styleId="BodyTextIndentChar">
    <w:name w:val="Body Text Indent Char"/>
    <w:semiHidden/>
    <w:rPr>
      <w:sz w:val="22"/>
      <w:szCs w:val="24"/>
    </w:rPr>
  </w:style>
  <w:style w:type="character" w:customStyle="1" w:styleId="HeaderChar">
    <w:name w:val="Header Char"/>
    <w:rPr>
      <w:rFonts w:ascii="Arial Narrow" w:hAnsi="Arial Narrow"/>
      <w:b/>
      <w:color w:val="808080"/>
      <w:sz w:val="16"/>
      <w:szCs w:val="24"/>
    </w:rPr>
  </w:style>
  <w:style w:type="character" w:customStyle="1" w:styleId="Heading7Char">
    <w:name w:val="Heading 7 Char"/>
    <w:rPr>
      <w:rFonts w:ascii="Arial Narrow" w:eastAsia="Times New Roman" w:hAnsi="Arial Narrow" w:cs="Times New Roman"/>
      <w:color w:val="003366"/>
      <w:sz w:val="24"/>
      <w:szCs w:val="22"/>
    </w:rPr>
  </w:style>
  <w:style w:type="character" w:styleId="Emphasis">
    <w:name w:val="Emphasis"/>
    <w:uiPriority w:val="99"/>
    <w:qFormat/>
    <w:rPr>
      <w:rFonts w:ascii="Arial Narrow" w:hAnsi="Arial Narrow"/>
      <w:b/>
      <w:iCs/>
      <w:color w:val="003366"/>
      <w:sz w:val="21"/>
    </w:rPr>
  </w:style>
  <w:style w:type="paragraph" w:customStyle="1" w:styleId="Graphic">
    <w:name w:val="Graphic"/>
    <w:basedOn w:val="Normal"/>
    <w:next w:val="PhotoCaption"/>
    <w:pPr>
      <w:spacing w:after="60"/>
    </w:pPr>
  </w:style>
  <w:style w:type="paragraph" w:customStyle="1" w:styleId="PhotoCaption">
    <w:name w:val="Photo Caption"/>
    <w:basedOn w:val="TableNotes"/>
    <w:next w:val="Graphic"/>
    <w:qFormat/>
    <w:pPr>
      <w:spacing w:after="240"/>
    </w:pPr>
    <w:rPr>
      <w:b/>
      <w:color w:val="003366"/>
      <w:sz w:val="20"/>
    </w:rPr>
  </w:style>
  <w:style w:type="character" w:styleId="FollowedHyperlink">
    <w:name w:val="FollowedHyperlink"/>
    <w:semiHidden/>
    <w:rPr>
      <w:color w:val="800080"/>
      <w:u w:val="single"/>
    </w:rPr>
  </w:style>
  <w:style w:type="character" w:customStyle="1" w:styleId="BodyTextChar1">
    <w:name w:val="Body Text Char1"/>
    <w:semiHidden/>
    <w:rPr>
      <w:sz w:val="22"/>
      <w:szCs w:val="24"/>
    </w:rPr>
  </w:style>
  <w:style w:type="character" w:customStyle="1" w:styleId="BodyTextIndentChar1">
    <w:name w:val="Body Text Indent Char1"/>
    <w:semiHidden/>
    <w:rPr>
      <w:sz w:val="22"/>
      <w:szCs w:val="24"/>
    </w:rPr>
  </w:style>
  <w:style w:type="paragraph" w:customStyle="1" w:styleId="Sidebar">
    <w:name w:val="Sidebar"/>
    <w:basedOn w:val="Normal"/>
    <w:qFormat/>
    <w:pPr>
      <w:spacing w:before="0" w:after="0"/>
    </w:pPr>
    <w:rPr>
      <w:rFonts w:ascii="Arial Narrow" w:eastAsia="Times" w:hAnsi="Arial Narrow"/>
      <w:color w:val="1F497D"/>
      <w:sz w:val="20"/>
      <w:szCs w:val="20"/>
    </w:rPr>
  </w:style>
  <w:style w:type="paragraph" w:styleId="ListParagraph">
    <w:name w:val="List Paragraph"/>
    <w:basedOn w:val="Normal"/>
    <w:qFormat/>
    <w:pPr>
      <w:spacing w:before="0" w:after="0"/>
      <w:ind w:left="720"/>
    </w:pPr>
    <w:rPr>
      <w:rFonts w:ascii="Calibri" w:eastAsia="Calibri" w:hAnsi="Calibri"/>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Revision">
    <w:name w:val="Revision"/>
    <w:hidden/>
    <w:semiHidden/>
    <w:rPr>
      <w:sz w:val="22"/>
      <w:szCs w:val="24"/>
    </w:rPr>
  </w:style>
  <w:style w:type="paragraph" w:styleId="BalloonText">
    <w:name w:val="Balloon Text"/>
    <w:basedOn w:val="Normal"/>
    <w:uiPriority w:val="99"/>
    <w:semiHidden/>
    <w:unhideWhenUsed/>
    <w:pPr>
      <w:spacing w:before="0" w:after="0"/>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paragraph" w:customStyle="1" w:styleId="Exhibit">
    <w:name w:val="Exhibit"/>
    <w:basedOn w:val="Normal"/>
    <w:next w:val="Source"/>
    <w:pPr>
      <w:keepNext/>
      <w:spacing w:before="120" w:after="120" w:line="280" w:lineRule="atLeast"/>
      <w:jc w:val="center"/>
    </w:pPr>
    <w:rPr>
      <w:rFonts w:ascii="Formata Light" w:hAnsi="Formata Light"/>
      <w:szCs w:val="20"/>
    </w:rPr>
  </w:style>
  <w:style w:type="paragraph" w:customStyle="1" w:styleId="Source">
    <w:name w:val="Source"/>
    <w:basedOn w:val="Normal"/>
    <w:next w:val="Normal"/>
    <w:pPr>
      <w:spacing w:after="120" w:line="280" w:lineRule="atLeast"/>
      <w:jc w:val="both"/>
    </w:pPr>
    <w:rPr>
      <w:rFonts w:ascii="Formata Light" w:hAnsi="Formata Light"/>
      <w:sz w:val="18"/>
      <w:szCs w:val="20"/>
    </w:rPr>
  </w:style>
  <w:style w:type="paragraph" w:customStyle="1" w:styleId="ReportTitle">
    <w:name w:val="Report Title"/>
    <w:basedOn w:val="Normal"/>
    <w:next w:val="ReportSubtitle"/>
    <w:pPr>
      <w:spacing w:after="240" w:line="280" w:lineRule="atLeast"/>
      <w:jc w:val="center"/>
    </w:pPr>
    <w:rPr>
      <w:rFonts w:ascii="Formata Regular" w:hAnsi="Formata Regular"/>
      <w:b/>
      <w:bCs/>
      <w:caps/>
      <w:sz w:val="32"/>
      <w:szCs w:val="20"/>
    </w:rPr>
  </w:style>
  <w:style w:type="character" w:customStyle="1" w:styleId="BodyTextChar2">
    <w:name w:val="Body Text Char2"/>
    <w:aliases w:val="EIS Body Text Char"/>
    <w:rPr>
      <w:sz w:val="22"/>
      <w:szCs w:val="24"/>
    </w:rPr>
  </w:style>
  <w:style w:type="character" w:customStyle="1" w:styleId="BodyTextIndentChar2">
    <w:name w:val="Body Text Indent Char2"/>
    <w:semiHidden/>
    <w:rPr>
      <w:sz w:val="22"/>
      <w:szCs w:val="24"/>
    </w:rPr>
  </w:style>
  <w:style w:type="paragraph" w:customStyle="1" w:styleId="ReportSubtitle">
    <w:name w:val="Report Subtitle"/>
    <w:basedOn w:val="Normal"/>
    <w:next w:val="Heading1"/>
    <w:pPr>
      <w:spacing w:after="360" w:line="280" w:lineRule="atLeast"/>
      <w:jc w:val="center"/>
    </w:pPr>
    <w:rPr>
      <w:rFonts w:ascii="Formata Regular" w:hAnsi="Formata Regular"/>
      <w:b/>
      <w:bCs/>
      <w:sz w:val="32"/>
      <w:szCs w:val="20"/>
    </w:rPr>
  </w:style>
  <w:style w:type="paragraph" w:customStyle="1" w:styleId="ExhibitTitle">
    <w:name w:val="Exhibit Title"/>
    <w:basedOn w:val="Normal"/>
    <w:next w:val="Exhibit"/>
    <w:pPr>
      <w:keepNext/>
      <w:spacing w:before="0" w:after="0" w:line="280" w:lineRule="atLeast"/>
      <w:jc w:val="center"/>
    </w:pPr>
    <w:rPr>
      <w:rFonts w:ascii="Formata Regular" w:hAnsi="Formata Regular"/>
      <w:b/>
      <w:bCs/>
      <w:sz w:val="24"/>
      <w:szCs w:val="20"/>
    </w:rPr>
  </w:style>
  <w:style w:type="character" w:customStyle="1" w:styleId="BodyTextChar3">
    <w:name w:val="Body Text Char3"/>
    <w:aliases w:val="EIS Body Text Char1"/>
    <w:semiHidden/>
    <w:rPr>
      <w:sz w:val="22"/>
      <w:szCs w:val="24"/>
    </w:rPr>
  </w:style>
  <w:style w:type="table" w:styleId="TableGrid">
    <w:name w:val="Table Grid"/>
    <w:basedOn w:val="TableNormal"/>
    <w:uiPriority w:val="59"/>
    <w:rsid w:val="00F42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tesindent">
    <w:name w:val="Table notes indent"/>
    <w:basedOn w:val="TableNotes"/>
    <w:qFormat/>
    <w:pPr>
      <w:ind w:left="216" w:hanging="216"/>
    </w:pPr>
  </w:style>
  <w:style w:type="character" w:customStyle="1" w:styleId="Heading2Char">
    <w:name w:val="Heading 2 Char"/>
    <w:uiPriority w:val="99"/>
    <w:rPr>
      <w:rFonts w:ascii="Arial Narrow" w:hAnsi="Arial Narrow"/>
      <w:b/>
      <w:bCs/>
      <w:color w:val="003366"/>
      <w:sz w:val="36"/>
      <w:szCs w:val="24"/>
    </w:rPr>
  </w:style>
  <w:style w:type="character" w:customStyle="1" w:styleId="BodyTextChar4">
    <w:name w:val="Body Text Char4"/>
    <w:aliases w:val="EIS Body Text Char2"/>
    <w:rPr>
      <w:sz w:val="22"/>
      <w:szCs w:val="24"/>
    </w:rPr>
  </w:style>
  <w:style w:type="character" w:customStyle="1" w:styleId="BodyTextIndentChar3">
    <w:name w:val="Body Text Indent Char3"/>
    <w:semiHidden/>
    <w:rPr>
      <w:sz w:val="22"/>
      <w:szCs w:val="24"/>
    </w:rPr>
  </w:style>
  <w:style w:type="character" w:customStyle="1" w:styleId="Heading3Char">
    <w:name w:val="Heading 3 Char"/>
    <w:uiPriority w:val="99"/>
    <w:rPr>
      <w:rFonts w:ascii="Arial Narrow" w:hAnsi="Arial Narrow" w:cs="Arial"/>
      <w:color w:val="003366"/>
      <w:sz w:val="36"/>
      <w:szCs w:val="36"/>
    </w:rPr>
  </w:style>
  <w:style w:type="character" w:customStyle="1" w:styleId="Heading4Char">
    <w:name w:val="Heading 4 Char"/>
    <w:uiPriority w:val="99"/>
    <w:rPr>
      <w:rFonts w:ascii="Arial Narrow" w:hAnsi="Arial Narrow" w:cs="Arial"/>
      <w:b/>
      <w:bCs/>
      <w:color w:val="003366"/>
      <w:sz w:val="30"/>
      <w:szCs w:val="30"/>
    </w:rPr>
  </w:style>
  <w:style w:type="character" w:customStyle="1" w:styleId="BodyTextChar5">
    <w:name w:val="Body Text Char5"/>
    <w:aliases w:val="EIS Body Text Char3"/>
    <w:link w:val="BodyText"/>
    <w:uiPriority w:val="99"/>
    <w:semiHidden/>
    <w:rsid w:val="00724825"/>
    <w:rPr>
      <w:sz w:val="22"/>
      <w:szCs w:val="24"/>
    </w:rPr>
  </w:style>
  <w:style w:type="character" w:customStyle="1" w:styleId="BodyTextIndentChar4">
    <w:name w:val="Body Text Indent Char4"/>
    <w:link w:val="BodyTextIndent"/>
    <w:semiHidden/>
    <w:rsid w:val="00724825"/>
    <w:rPr>
      <w:sz w:val="22"/>
      <w:szCs w:val="24"/>
    </w:rPr>
  </w:style>
  <w:style w:type="character" w:customStyle="1" w:styleId="FootnoteTextChar">
    <w:name w:val="Footnote Text Char"/>
    <w:link w:val="FootnoteText"/>
    <w:uiPriority w:val="99"/>
    <w:rsid w:val="00D12F07"/>
    <w:rPr>
      <w:rFonts w:ascii="Arial Narrow" w:hAnsi="Arial Narrow"/>
      <w:sz w:val="18"/>
      <w:szCs w:val="24"/>
    </w:rPr>
  </w:style>
  <w:style w:type="paragraph" w:customStyle="1" w:styleId="Table-Title-Center">
    <w:name w:val="Table - Title - Center"/>
    <w:basedOn w:val="Normal"/>
    <w:qFormat/>
    <w:rsid w:val="007753DE"/>
    <w:pPr>
      <w:spacing w:before="120" w:after="60" w:line="260" w:lineRule="exact"/>
      <w:jc w:val="center"/>
    </w:pPr>
    <w:rPr>
      <w:rFonts w:ascii="Calibri" w:eastAsia="Calibri" w:hAnsi="Calibri"/>
      <w:b/>
      <w:szCs w:val="22"/>
    </w:rPr>
  </w:style>
  <w:style w:type="character" w:customStyle="1" w:styleId="TableTextChar">
    <w:name w:val="Table Text Char"/>
    <w:link w:val="TableText"/>
    <w:rsid w:val="007753DE"/>
    <w:rPr>
      <w:rFonts w:ascii="Arial" w:hAnsi="Arial" w:cs="Arial"/>
      <w:sz w:val="17"/>
      <w:szCs w:val="17"/>
    </w:rPr>
  </w:style>
  <w:style w:type="character" w:customStyle="1" w:styleId="Heading5Char">
    <w:name w:val="Heading 5 Char"/>
    <w:basedOn w:val="DefaultParagraphFont"/>
    <w:link w:val="Heading5"/>
    <w:uiPriority w:val="99"/>
    <w:locked/>
    <w:rsid w:val="002D3F7D"/>
    <w:rPr>
      <w:rFonts w:ascii="Arial Narrow" w:hAnsi="Arial Narrow"/>
      <w:bCs/>
      <w:color w:val="003366"/>
      <w:sz w:val="30"/>
      <w:szCs w:val="26"/>
    </w:rPr>
  </w:style>
  <w:style w:type="character" w:customStyle="1" w:styleId="FooterChar">
    <w:name w:val="Footer Char"/>
    <w:basedOn w:val="DefaultParagraphFont"/>
    <w:link w:val="Footer"/>
    <w:semiHidden/>
    <w:rsid w:val="00C91511"/>
    <w:rPr>
      <w:rFonts w:ascii="Arial Narrow" w:hAnsi="Arial Narrow"/>
      <w:b/>
      <w:color w:val="80808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9C8"/>
    <w:pPr>
      <w:spacing w:before="60" w:after="180"/>
    </w:pPr>
    <w:rPr>
      <w:sz w:val="22"/>
      <w:szCs w:val="24"/>
    </w:rPr>
  </w:style>
  <w:style w:type="paragraph" w:styleId="Heading1">
    <w:name w:val="heading 1"/>
    <w:basedOn w:val="Normal"/>
    <w:next w:val="BodyText"/>
    <w:qFormat/>
    <w:pPr>
      <w:keepNext/>
      <w:spacing w:before="720" w:after="0"/>
      <w:outlineLvl w:val="0"/>
    </w:pPr>
    <w:rPr>
      <w:rFonts w:ascii="Arial Narrow" w:hAnsi="Arial Narrow"/>
      <w:color w:val="003366"/>
      <w:sz w:val="48"/>
    </w:rPr>
  </w:style>
  <w:style w:type="paragraph" w:styleId="Heading2">
    <w:name w:val="heading 2"/>
    <w:basedOn w:val="Normal"/>
    <w:next w:val="BodyText"/>
    <w:uiPriority w:val="99"/>
    <w:qFormat/>
    <w:pPr>
      <w:keepNext/>
      <w:spacing w:before="480" w:after="120"/>
      <w:outlineLvl w:val="1"/>
    </w:pPr>
    <w:rPr>
      <w:rFonts w:ascii="Arial Narrow" w:hAnsi="Arial Narrow"/>
      <w:b/>
      <w:bCs/>
      <w:color w:val="003366"/>
      <w:sz w:val="36"/>
    </w:rPr>
  </w:style>
  <w:style w:type="paragraph" w:styleId="Heading3">
    <w:name w:val="heading 3"/>
    <w:basedOn w:val="Heading2"/>
    <w:next w:val="BodyText"/>
    <w:uiPriority w:val="99"/>
    <w:qFormat/>
    <w:pPr>
      <w:spacing w:before="300"/>
      <w:outlineLvl w:val="2"/>
    </w:pPr>
    <w:rPr>
      <w:rFonts w:cs="Arial"/>
      <w:b w:val="0"/>
      <w:bCs w:val="0"/>
      <w:szCs w:val="36"/>
    </w:rPr>
  </w:style>
  <w:style w:type="paragraph" w:styleId="Heading4">
    <w:name w:val="heading 4"/>
    <w:basedOn w:val="Heading3"/>
    <w:next w:val="BodyText"/>
    <w:uiPriority w:val="99"/>
    <w:qFormat/>
    <w:pPr>
      <w:spacing w:before="240" w:after="60"/>
      <w:outlineLvl w:val="3"/>
    </w:pPr>
    <w:rPr>
      <w:b/>
      <w:bCs/>
      <w:sz w:val="30"/>
      <w:szCs w:val="30"/>
    </w:rPr>
  </w:style>
  <w:style w:type="paragraph" w:styleId="Heading5">
    <w:name w:val="heading 5"/>
    <w:basedOn w:val="Normal"/>
    <w:next w:val="BodyText"/>
    <w:link w:val="Heading5Char"/>
    <w:uiPriority w:val="99"/>
    <w:qFormat/>
    <w:pPr>
      <w:keepNext/>
      <w:spacing w:before="240" w:after="60"/>
      <w:outlineLvl w:val="4"/>
    </w:pPr>
    <w:rPr>
      <w:rFonts w:ascii="Arial Narrow" w:hAnsi="Arial Narrow"/>
      <w:bCs/>
      <w:color w:val="003366"/>
      <w:sz w:val="30"/>
      <w:szCs w:val="26"/>
    </w:rPr>
  </w:style>
  <w:style w:type="paragraph" w:styleId="Heading6">
    <w:name w:val="heading 6"/>
    <w:basedOn w:val="Normal"/>
    <w:next w:val="BodyText"/>
    <w:qFormat/>
    <w:pPr>
      <w:keepNext/>
      <w:spacing w:before="180" w:after="60"/>
      <w:outlineLvl w:val="5"/>
    </w:pPr>
    <w:rPr>
      <w:rFonts w:ascii="Arial Narrow" w:hAnsi="Arial Narrow"/>
      <w:b/>
      <w:color w:val="003366"/>
      <w:sz w:val="24"/>
      <w:szCs w:val="22"/>
    </w:rPr>
  </w:style>
  <w:style w:type="paragraph" w:styleId="Heading7">
    <w:name w:val="heading 7"/>
    <w:basedOn w:val="Heading6"/>
    <w:next w:val="Normal"/>
    <w:qFormat/>
    <w:pPr>
      <w:outlineLvl w:val="6"/>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EIS Body Text"/>
    <w:basedOn w:val="Normal"/>
    <w:link w:val="BodyTextChar5"/>
    <w:uiPriority w:val="99"/>
    <w:pPr>
      <w:spacing w:line="300" w:lineRule="atLeast"/>
    </w:pPr>
  </w:style>
  <w:style w:type="paragraph" w:customStyle="1" w:styleId="TableTitle">
    <w:name w:val="Table Title"/>
    <w:semiHidden/>
    <w:pPr>
      <w:keepNext/>
      <w:spacing w:before="240" w:after="120"/>
    </w:pPr>
    <w:rPr>
      <w:rFonts w:ascii="Arial Narrow" w:hAnsi="Arial Narrow"/>
      <w:b/>
      <w:color w:val="003366"/>
      <w:sz w:val="24"/>
    </w:rPr>
  </w:style>
  <w:style w:type="paragraph" w:customStyle="1" w:styleId="TableText">
    <w:name w:val="Table Text"/>
    <w:basedOn w:val="Normal"/>
    <w:link w:val="TableTextChar"/>
    <w:qFormat/>
    <w:pPr>
      <w:spacing w:before="80" w:after="80"/>
    </w:pPr>
    <w:rPr>
      <w:rFonts w:ascii="Arial" w:hAnsi="Arial" w:cs="Arial"/>
      <w:sz w:val="17"/>
      <w:szCs w:val="17"/>
    </w:rPr>
  </w:style>
  <w:style w:type="paragraph" w:styleId="Caption">
    <w:name w:val="caption"/>
    <w:basedOn w:val="Normal"/>
    <w:next w:val="Normal"/>
    <w:qFormat/>
    <w:pPr>
      <w:keepNext/>
      <w:tabs>
        <w:tab w:val="left" w:pos="1080"/>
      </w:tabs>
      <w:spacing w:before="300" w:after="60"/>
      <w:ind w:left="1080" w:hanging="1080"/>
    </w:pPr>
    <w:rPr>
      <w:rFonts w:ascii="Arial Narrow" w:hAnsi="Arial Narrow"/>
      <w:b/>
      <w:bCs/>
      <w:color w:val="003366"/>
      <w:sz w:val="24"/>
    </w:rPr>
  </w:style>
  <w:style w:type="character" w:styleId="Hyperlink">
    <w:name w:val="Hyperlink"/>
    <w:uiPriority w:val="99"/>
    <w:rPr>
      <w:color w:val="0000FF"/>
      <w:u w:val="single"/>
    </w:rPr>
  </w:style>
  <w:style w:type="character" w:styleId="PageNumber">
    <w:name w:val="page number"/>
    <w:semiHidden/>
    <w:rPr>
      <w:rFonts w:ascii="Arial Narrow" w:hAnsi="Arial Narrow"/>
      <w:b/>
      <w:bCs/>
      <w:color w:val="003366"/>
      <w:sz w:val="16"/>
    </w:rPr>
  </w:style>
  <w:style w:type="paragraph" w:styleId="Header">
    <w:name w:val="header"/>
    <w:basedOn w:val="Normal"/>
    <w:semiHidden/>
    <w:pPr>
      <w:tabs>
        <w:tab w:val="right" w:pos="7560"/>
      </w:tabs>
      <w:spacing w:after="60"/>
    </w:pPr>
    <w:rPr>
      <w:rFonts w:ascii="Arial Narrow" w:hAnsi="Arial Narrow"/>
      <w:b/>
      <w:color w:val="808080"/>
      <w:sz w:val="16"/>
    </w:rPr>
  </w:style>
  <w:style w:type="paragraph" w:styleId="Footer">
    <w:name w:val="footer"/>
    <w:basedOn w:val="Normal"/>
    <w:link w:val="FooterChar"/>
    <w:semiHidden/>
    <w:pPr>
      <w:pBdr>
        <w:top w:val="single" w:sz="4" w:space="1" w:color="003366"/>
      </w:pBdr>
      <w:tabs>
        <w:tab w:val="right" w:pos="7560"/>
      </w:tabs>
      <w:spacing w:after="60"/>
    </w:pPr>
    <w:rPr>
      <w:rFonts w:ascii="Arial Narrow" w:hAnsi="Arial Narrow"/>
      <w:b/>
      <w:color w:val="808080"/>
      <w:sz w:val="16"/>
    </w:rPr>
  </w:style>
  <w:style w:type="paragraph" w:customStyle="1" w:styleId="TableHeader">
    <w:name w:val="Table Header"/>
    <w:basedOn w:val="TableTitle"/>
    <w:pPr>
      <w:spacing w:before="60" w:after="60"/>
      <w:jc w:val="center"/>
    </w:pPr>
    <w:rPr>
      <w:sz w:val="20"/>
    </w:rPr>
  </w:style>
  <w:style w:type="paragraph" w:customStyle="1" w:styleId="TableNotes">
    <w:name w:val="Table Notes"/>
    <w:basedOn w:val="TableText"/>
    <w:pPr>
      <w:spacing w:before="60" w:after="60"/>
    </w:pPr>
    <w:rPr>
      <w:sz w:val="15"/>
      <w:szCs w:val="15"/>
    </w:rPr>
  </w:style>
  <w:style w:type="paragraph" w:styleId="Subtitle">
    <w:name w:val="Subtitle"/>
    <w:aliases w:val="Cover_Subtitle"/>
    <w:basedOn w:val="Normal"/>
    <w:qFormat/>
    <w:pPr>
      <w:spacing w:after="60"/>
      <w:ind w:left="153"/>
      <w:outlineLvl w:val="0"/>
    </w:pPr>
    <w:rPr>
      <w:rFonts w:ascii="Arial Narrow" w:hAnsi="Arial Narrow" w:cs="Arial"/>
      <w:noProof/>
      <w:color w:val="003366"/>
      <w:sz w:val="26"/>
      <w:szCs w:val="28"/>
    </w:rPr>
  </w:style>
  <w:style w:type="paragraph" w:styleId="FootnoteText">
    <w:name w:val="footnote text"/>
    <w:basedOn w:val="Normal"/>
    <w:link w:val="FootnoteTextChar"/>
    <w:uiPriority w:val="99"/>
    <w:pPr>
      <w:jc w:val="both"/>
    </w:pPr>
    <w:rPr>
      <w:rFonts w:ascii="Arial Narrow" w:hAnsi="Arial Narrow"/>
      <w:sz w:val="18"/>
    </w:rPr>
  </w:style>
  <w:style w:type="character" w:styleId="FootnoteReference">
    <w:name w:val="footnote reference"/>
    <w:uiPriority w:val="99"/>
    <w:rPr>
      <w:rFonts w:ascii="Arial Narrow" w:hAnsi="Arial Narrow"/>
      <w:sz w:val="16"/>
      <w:vertAlign w:val="superscript"/>
    </w:rPr>
  </w:style>
  <w:style w:type="paragraph" w:styleId="TOC3">
    <w:name w:val="toc 3"/>
    <w:basedOn w:val="TOC2"/>
    <w:next w:val="Normal"/>
    <w:uiPriority w:val="39"/>
    <w:rPr>
      <w:bCs w:val="0"/>
      <w:sz w:val="24"/>
    </w:rPr>
  </w:style>
  <w:style w:type="paragraph" w:styleId="TOC2">
    <w:name w:val="toc 2"/>
    <w:basedOn w:val="Normal"/>
    <w:next w:val="Normal"/>
    <w:uiPriority w:val="39"/>
    <w:pPr>
      <w:tabs>
        <w:tab w:val="right" w:leader="dot" w:pos="7560"/>
      </w:tabs>
      <w:spacing w:after="0"/>
    </w:pPr>
    <w:rPr>
      <w:rFonts w:ascii="Arial Narrow" w:hAnsi="Arial Narrow"/>
      <w:bCs/>
      <w:noProof/>
      <w:sz w:val="30"/>
    </w:rPr>
  </w:style>
  <w:style w:type="paragraph" w:styleId="BodyTextIndent">
    <w:name w:val="Body Text Indent"/>
    <w:basedOn w:val="Normal"/>
    <w:link w:val="BodyTextIndentChar4"/>
    <w:semiHidden/>
    <w:pPr>
      <w:spacing w:line="300" w:lineRule="exact"/>
      <w:ind w:left="720"/>
    </w:pPr>
  </w:style>
  <w:style w:type="paragraph" w:styleId="TOC4">
    <w:name w:val="toc 4"/>
    <w:basedOn w:val="Normal"/>
    <w:next w:val="Normal"/>
    <w:uiPriority w:val="39"/>
    <w:pPr>
      <w:ind w:left="660"/>
    </w:pPr>
  </w:style>
  <w:style w:type="paragraph" w:customStyle="1" w:styleId="Footerlandscape">
    <w:name w:val="Footer_landscape"/>
    <w:basedOn w:val="Footer"/>
    <w:pPr>
      <w:tabs>
        <w:tab w:val="clear" w:pos="7560"/>
        <w:tab w:val="right" w:pos="12960"/>
      </w:tabs>
    </w:pPr>
  </w:style>
  <w:style w:type="paragraph" w:customStyle="1" w:styleId="Headerlandscape">
    <w:name w:val="Header_landscape"/>
    <w:basedOn w:val="Header"/>
    <w:pPr>
      <w:tabs>
        <w:tab w:val="clear" w:pos="7560"/>
        <w:tab w:val="right" w:pos="12960"/>
      </w:tabs>
    </w:pPr>
  </w:style>
  <w:style w:type="paragraph" w:styleId="TOC1">
    <w:name w:val="toc 1"/>
    <w:basedOn w:val="Normal"/>
    <w:next w:val="Normal"/>
    <w:uiPriority w:val="39"/>
    <w:pPr>
      <w:tabs>
        <w:tab w:val="right" w:leader="dot" w:pos="7560"/>
      </w:tabs>
      <w:spacing w:before="240" w:after="60"/>
    </w:pPr>
    <w:rPr>
      <w:rFonts w:ascii="Arial Narrow" w:hAnsi="Arial Narrow"/>
      <w:b/>
      <w:noProof/>
      <w:color w:val="003366"/>
      <w:sz w:val="30"/>
      <w:szCs w:val="44"/>
    </w:rPr>
  </w:style>
  <w:style w:type="paragraph" w:styleId="TOC5">
    <w:name w:val="toc 5"/>
    <w:basedOn w:val="Normal"/>
    <w:next w:val="Normal"/>
    <w:uiPriority w:val="39"/>
    <w:pPr>
      <w:ind w:left="880"/>
    </w:pPr>
  </w:style>
  <w:style w:type="paragraph" w:styleId="TOC6">
    <w:name w:val="toc 6"/>
    <w:basedOn w:val="Normal"/>
    <w:next w:val="Normal"/>
    <w:uiPriority w:val="39"/>
    <w:pPr>
      <w:ind w:left="1100"/>
    </w:pPr>
  </w:style>
  <w:style w:type="paragraph" w:styleId="TOC7">
    <w:name w:val="toc 7"/>
    <w:basedOn w:val="Normal"/>
    <w:next w:val="Normal"/>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TOAHeading">
    <w:name w:val="toa heading"/>
    <w:basedOn w:val="Normal"/>
    <w:next w:val="TableofFigures"/>
    <w:semiHidden/>
    <w:pPr>
      <w:pBdr>
        <w:bottom w:val="single" w:sz="4" w:space="1" w:color="003366"/>
      </w:pBdr>
      <w:tabs>
        <w:tab w:val="right" w:pos="7560"/>
      </w:tabs>
      <w:spacing w:before="720"/>
    </w:pPr>
    <w:rPr>
      <w:rFonts w:ascii="Arial Narrow" w:hAnsi="Arial Narrow" w:cs="Arial"/>
      <w:bCs/>
      <w:color w:val="003366"/>
      <w:sz w:val="48"/>
    </w:rPr>
  </w:style>
  <w:style w:type="paragraph" w:styleId="TableofFigures">
    <w:name w:val="table of figures"/>
    <w:basedOn w:val="Normal"/>
    <w:next w:val="Normal"/>
    <w:uiPriority w:val="99"/>
    <w:pPr>
      <w:tabs>
        <w:tab w:val="left" w:pos="1080"/>
        <w:tab w:val="right" w:leader="dot" w:pos="7560"/>
      </w:tabs>
      <w:ind w:left="1080" w:hanging="1080"/>
    </w:pPr>
    <w:rPr>
      <w:rFonts w:ascii="Arial Narrow" w:hAnsi="Arial Narrow"/>
    </w:rPr>
  </w:style>
  <w:style w:type="paragraph" w:customStyle="1" w:styleId="Citation">
    <w:name w:val="Citation"/>
    <w:basedOn w:val="BodyText"/>
    <w:pPr>
      <w:ind w:left="720" w:hanging="720"/>
    </w:pPr>
  </w:style>
  <w:style w:type="paragraph" w:customStyle="1" w:styleId="FlySheet">
    <w:name w:val="Fly Sheet"/>
    <w:next w:val="FlySheetSubtitle"/>
    <w:pPr>
      <w:pBdr>
        <w:bottom w:val="single" w:sz="4" w:space="1" w:color="003366"/>
      </w:pBdr>
      <w:spacing w:before="6000"/>
      <w:jc w:val="right"/>
    </w:pPr>
    <w:rPr>
      <w:rFonts w:ascii="Arial Narrow" w:hAnsi="Arial Narrow"/>
      <w:color w:val="003366"/>
      <w:sz w:val="40"/>
    </w:rPr>
  </w:style>
  <w:style w:type="paragraph" w:customStyle="1" w:styleId="FlySheetSubtitle">
    <w:name w:val="Fly Sheet Subtitle"/>
    <w:basedOn w:val="Footer"/>
    <w:pPr>
      <w:pBdr>
        <w:top w:val="single" w:sz="8" w:space="1" w:color="003366"/>
      </w:pBdr>
      <w:spacing w:before="0"/>
      <w:jc w:val="right"/>
    </w:pPr>
    <w:rPr>
      <w:b w:val="0"/>
      <w:sz w:val="28"/>
    </w:rPr>
  </w:style>
  <w:style w:type="paragraph" w:styleId="ListBullet">
    <w:name w:val="List Bullet"/>
    <w:basedOn w:val="BodyText"/>
    <w:semiHidden/>
    <w:pPr>
      <w:numPr>
        <w:numId w:val="2"/>
      </w:numPr>
      <w:spacing w:after="120" w:line="260" w:lineRule="atLeast"/>
    </w:pPr>
  </w:style>
  <w:style w:type="paragraph" w:customStyle="1" w:styleId="ListBulletLast">
    <w:name w:val="List Bullet Last"/>
    <w:basedOn w:val="BodyText"/>
    <w:pPr>
      <w:numPr>
        <w:numId w:val="3"/>
      </w:numPr>
      <w:spacing w:line="260" w:lineRule="atLeast"/>
    </w:pPr>
  </w:style>
  <w:style w:type="paragraph" w:customStyle="1" w:styleId="Titlepagetitle">
    <w:name w:val="Title page title"/>
    <w:basedOn w:val="Normal"/>
    <w:next w:val="TitlepagePreparer"/>
    <w:semiHidden/>
    <w:pPr>
      <w:spacing w:before="0" w:after="0"/>
      <w:jc w:val="center"/>
    </w:pPr>
    <w:rPr>
      <w:rFonts w:ascii="Arial Narrow" w:hAnsi="Arial Narrow"/>
      <w:bCs/>
      <w:color w:val="003366"/>
      <w:sz w:val="36"/>
      <w:szCs w:val="20"/>
    </w:rPr>
  </w:style>
  <w:style w:type="paragraph" w:customStyle="1" w:styleId="TitlepagePreparer">
    <w:name w:val="Title page Preparer"/>
    <w:basedOn w:val="Normal"/>
    <w:semiHidden/>
    <w:pPr>
      <w:spacing w:before="0" w:after="0"/>
      <w:jc w:val="center"/>
    </w:pPr>
    <w:rPr>
      <w:rFonts w:ascii="Arial Narrow" w:hAnsi="Arial Narrow"/>
      <w:iCs/>
      <w:color w:val="003366"/>
      <w:szCs w:val="20"/>
    </w:rPr>
  </w:style>
  <w:style w:type="paragraph" w:styleId="ListNumber">
    <w:name w:val="List Number"/>
    <w:basedOn w:val="Normal"/>
    <w:semiHidden/>
    <w:pPr>
      <w:numPr>
        <w:numId w:val="4"/>
      </w:numPr>
      <w:spacing w:after="120" w:line="300" w:lineRule="exact"/>
    </w:pPr>
  </w:style>
  <w:style w:type="paragraph" w:customStyle="1" w:styleId="ListNumberlast">
    <w:name w:val="List Number last"/>
    <w:basedOn w:val="ListNumber"/>
    <w:semiHidden/>
    <w:pPr>
      <w:numPr>
        <w:numId w:val="5"/>
      </w:numPr>
      <w:tabs>
        <w:tab w:val="num" w:pos="720"/>
        <w:tab w:val="num" w:pos="1080"/>
      </w:tabs>
      <w:spacing w:after="240"/>
    </w:pPr>
  </w:style>
  <w:style w:type="paragraph" w:customStyle="1" w:styleId="VersoPage">
    <w:name w:val="Verso Page"/>
    <w:basedOn w:val="BodyText"/>
    <w:semiHidden/>
    <w:pPr>
      <w:spacing w:before="0" w:after="0" w:line="240" w:lineRule="auto"/>
      <w:ind w:left="180"/>
    </w:pPr>
    <w:rPr>
      <w:rFonts w:ascii="Arial Narrow" w:hAnsi="Arial Narrow"/>
      <w:sz w:val="20"/>
      <w:szCs w:val="20"/>
    </w:rPr>
  </w:style>
  <w:style w:type="paragraph" w:customStyle="1" w:styleId="Titlepagetext">
    <w:name w:val="Title page text"/>
    <w:basedOn w:val="Normal"/>
    <w:semiHidden/>
    <w:pPr>
      <w:spacing w:before="0" w:after="0"/>
      <w:jc w:val="center"/>
    </w:pPr>
    <w:rPr>
      <w:rFonts w:ascii="Arial Narrow" w:hAnsi="Arial Narrow"/>
      <w:sz w:val="20"/>
      <w:szCs w:val="20"/>
    </w:rPr>
  </w:style>
  <w:style w:type="paragraph" w:styleId="DocumentMap">
    <w:name w:val="Document Map"/>
    <w:basedOn w:val="Normal"/>
    <w:semiHidden/>
    <w:pPr>
      <w:shd w:val="clear" w:color="auto" w:fill="000080"/>
    </w:pPr>
    <w:rPr>
      <w:rFonts w:ascii="Tahoma" w:hAnsi="Tahoma" w:cs="Tahoma"/>
    </w:rPr>
  </w:style>
  <w:style w:type="paragraph" w:styleId="Title">
    <w:name w:val="Title"/>
    <w:aliases w:val="Cover_Title"/>
    <w:basedOn w:val="Normal"/>
    <w:qFormat/>
    <w:pPr>
      <w:spacing w:before="3200" w:after="0"/>
      <w:ind w:left="720"/>
      <w:outlineLvl w:val="0"/>
    </w:pPr>
    <w:rPr>
      <w:rFonts w:ascii="Arial Narrow" w:hAnsi="Arial Narrow" w:cs="Arial"/>
      <w:bCs/>
      <w:color w:val="FFFFFF"/>
      <w:kern w:val="28"/>
      <w:sz w:val="48"/>
      <w:szCs w:val="56"/>
    </w:rPr>
  </w:style>
  <w:style w:type="paragraph" w:customStyle="1" w:styleId="TableBullet">
    <w:name w:val="Table Bullet"/>
    <w:basedOn w:val="TableText"/>
    <w:pPr>
      <w:numPr>
        <w:numId w:val="1"/>
      </w:numPr>
      <w:tabs>
        <w:tab w:val="clear" w:pos="360"/>
        <w:tab w:val="left" w:pos="182"/>
      </w:tabs>
      <w:spacing w:before="40" w:after="40"/>
      <w:ind w:left="182" w:hanging="182"/>
    </w:pPr>
  </w:style>
  <w:style w:type="paragraph" w:customStyle="1" w:styleId="TitlepageSubtitle">
    <w:name w:val="Title page Subtitle"/>
    <w:basedOn w:val="Titlepagetitle"/>
    <w:semiHidden/>
    <w:rPr>
      <w:sz w:val="28"/>
    </w:rPr>
  </w:style>
  <w:style w:type="paragraph" w:customStyle="1" w:styleId="TableNotesLast">
    <w:name w:val="Table Notes Last"/>
    <w:basedOn w:val="TableNotes"/>
    <w:pPr>
      <w:spacing w:after="240"/>
    </w:pPr>
  </w:style>
  <w:style w:type="character" w:customStyle="1" w:styleId="BodyTextChar">
    <w:name w:val="Body Text Char"/>
    <w:rPr>
      <w:sz w:val="22"/>
      <w:szCs w:val="24"/>
    </w:rPr>
  </w:style>
  <w:style w:type="character" w:customStyle="1" w:styleId="BodyTextIndentChar">
    <w:name w:val="Body Text Indent Char"/>
    <w:semiHidden/>
    <w:rPr>
      <w:sz w:val="22"/>
      <w:szCs w:val="24"/>
    </w:rPr>
  </w:style>
  <w:style w:type="character" w:customStyle="1" w:styleId="HeaderChar">
    <w:name w:val="Header Char"/>
    <w:rPr>
      <w:rFonts w:ascii="Arial Narrow" w:hAnsi="Arial Narrow"/>
      <w:b/>
      <w:color w:val="808080"/>
      <w:sz w:val="16"/>
      <w:szCs w:val="24"/>
    </w:rPr>
  </w:style>
  <w:style w:type="character" w:customStyle="1" w:styleId="Heading7Char">
    <w:name w:val="Heading 7 Char"/>
    <w:rPr>
      <w:rFonts w:ascii="Arial Narrow" w:eastAsia="Times New Roman" w:hAnsi="Arial Narrow" w:cs="Times New Roman"/>
      <w:color w:val="003366"/>
      <w:sz w:val="24"/>
      <w:szCs w:val="22"/>
    </w:rPr>
  </w:style>
  <w:style w:type="character" w:styleId="Emphasis">
    <w:name w:val="Emphasis"/>
    <w:uiPriority w:val="99"/>
    <w:qFormat/>
    <w:rPr>
      <w:rFonts w:ascii="Arial Narrow" w:hAnsi="Arial Narrow"/>
      <w:b/>
      <w:iCs/>
      <w:color w:val="003366"/>
      <w:sz w:val="21"/>
    </w:rPr>
  </w:style>
  <w:style w:type="paragraph" w:customStyle="1" w:styleId="Graphic">
    <w:name w:val="Graphic"/>
    <w:basedOn w:val="Normal"/>
    <w:next w:val="PhotoCaption"/>
    <w:pPr>
      <w:spacing w:after="60"/>
    </w:pPr>
  </w:style>
  <w:style w:type="paragraph" w:customStyle="1" w:styleId="PhotoCaption">
    <w:name w:val="Photo Caption"/>
    <w:basedOn w:val="TableNotes"/>
    <w:next w:val="Graphic"/>
    <w:qFormat/>
    <w:pPr>
      <w:spacing w:after="240"/>
    </w:pPr>
    <w:rPr>
      <w:b/>
      <w:color w:val="003366"/>
      <w:sz w:val="20"/>
    </w:rPr>
  </w:style>
  <w:style w:type="character" w:styleId="FollowedHyperlink">
    <w:name w:val="FollowedHyperlink"/>
    <w:semiHidden/>
    <w:rPr>
      <w:color w:val="800080"/>
      <w:u w:val="single"/>
    </w:rPr>
  </w:style>
  <w:style w:type="character" w:customStyle="1" w:styleId="BodyTextChar1">
    <w:name w:val="Body Text Char1"/>
    <w:semiHidden/>
    <w:rPr>
      <w:sz w:val="22"/>
      <w:szCs w:val="24"/>
    </w:rPr>
  </w:style>
  <w:style w:type="character" w:customStyle="1" w:styleId="BodyTextIndentChar1">
    <w:name w:val="Body Text Indent Char1"/>
    <w:semiHidden/>
    <w:rPr>
      <w:sz w:val="22"/>
      <w:szCs w:val="24"/>
    </w:rPr>
  </w:style>
  <w:style w:type="paragraph" w:customStyle="1" w:styleId="Sidebar">
    <w:name w:val="Sidebar"/>
    <w:basedOn w:val="Normal"/>
    <w:qFormat/>
    <w:pPr>
      <w:spacing w:before="0" w:after="0"/>
    </w:pPr>
    <w:rPr>
      <w:rFonts w:ascii="Arial Narrow" w:eastAsia="Times" w:hAnsi="Arial Narrow"/>
      <w:color w:val="1F497D"/>
      <w:sz w:val="20"/>
      <w:szCs w:val="20"/>
    </w:rPr>
  </w:style>
  <w:style w:type="paragraph" w:styleId="ListParagraph">
    <w:name w:val="List Paragraph"/>
    <w:basedOn w:val="Normal"/>
    <w:qFormat/>
    <w:pPr>
      <w:spacing w:before="0" w:after="0"/>
      <w:ind w:left="720"/>
    </w:pPr>
    <w:rPr>
      <w:rFonts w:ascii="Calibri" w:eastAsia="Calibri" w:hAnsi="Calibri"/>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rPr>
  </w:style>
  <w:style w:type="paragraph" w:styleId="Revision">
    <w:name w:val="Revision"/>
    <w:hidden/>
    <w:semiHidden/>
    <w:rPr>
      <w:sz w:val="22"/>
      <w:szCs w:val="24"/>
    </w:rPr>
  </w:style>
  <w:style w:type="paragraph" w:styleId="BalloonText">
    <w:name w:val="Balloon Text"/>
    <w:basedOn w:val="Normal"/>
    <w:uiPriority w:val="99"/>
    <w:semiHidden/>
    <w:unhideWhenUsed/>
    <w:pPr>
      <w:spacing w:before="0" w:after="0"/>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paragraph" w:customStyle="1" w:styleId="Exhibit">
    <w:name w:val="Exhibit"/>
    <w:basedOn w:val="Normal"/>
    <w:next w:val="Source"/>
    <w:pPr>
      <w:keepNext/>
      <w:spacing w:before="120" w:after="120" w:line="280" w:lineRule="atLeast"/>
      <w:jc w:val="center"/>
    </w:pPr>
    <w:rPr>
      <w:rFonts w:ascii="Formata Light" w:hAnsi="Formata Light"/>
      <w:szCs w:val="20"/>
    </w:rPr>
  </w:style>
  <w:style w:type="paragraph" w:customStyle="1" w:styleId="Source">
    <w:name w:val="Source"/>
    <w:basedOn w:val="Normal"/>
    <w:next w:val="Normal"/>
    <w:pPr>
      <w:spacing w:after="120" w:line="280" w:lineRule="atLeast"/>
      <w:jc w:val="both"/>
    </w:pPr>
    <w:rPr>
      <w:rFonts w:ascii="Formata Light" w:hAnsi="Formata Light"/>
      <w:sz w:val="18"/>
      <w:szCs w:val="20"/>
    </w:rPr>
  </w:style>
  <w:style w:type="paragraph" w:customStyle="1" w:styleId="ReportTitle">
    <w:name w:val="Report Title"/>
    <w:basedOn w:val="Normal"/>
    <w:next w:val="ReportSubtitle"/>
    <w:pPr>
      <w:spacing w:after="240" w:line="280" w:lineRule="atLeast"/>
      <w:jc w:val="center"/>
    </w:pPr>
    <w:rPr>
      <w:rFonts w:ascii="Formata Regular" w:hAnsi="Formata Regular"/>
      <w:b/>
      <w:bCs/>
      <w:caps/>
      <w:sz w:val="32"/>
      <w:szCs w:val="20"/>
    </w:rPr>
  </w:style>
  <w:style w:type="character" w:customStyle="1" w:styleId="BodyTextChar2">
    <w:name w:val="Body Text Char2"/>
    <w:aliases w:val="EIS Body Text Char"/>
    <w:rPr>
      <w:sz w:val="22"/>
      <w:szCs w:val="24"/>
    </w:rPr>
  </w:style>
  <w:style w:type="character" w:customStyle="1" w:styleId="BodyTextIndentChar2">
    <w:name w:val="Body Text Indent Char2"/>
    <w:semiHidden/>
    <w:rPr>
      <w:sz w:val="22"/>
      <w:szCs w:val="24"/>
    </w:rPr>
  </w:style>
  <w:style w:type="paragraph" w:customStyle="1" w:styleId="ReportSubtitle">
    <w:name w:val="Report Subtitle"/>
    <w:basedOn w:val="Normal"/>
    <w:next w:val="Heading1"/>
    <w:pPr>
      <w:spacing w:after="360" w:line="280" w:lineRule="atLeast"/>
      <w:jc w:val="center"/>
    </w:pPr>
    <w:rPr>
      <w:rFonts w:ascii="Formata Regular" w:hAnsi="Formata Regular"/>
      <w:b/>
      <w:bCs/>
      <w:sz w:val="32"/>
      <w:szCs w:val="20"/>
    </w:rPr>
  </w:style>
  <w:style w:type="paragraph" w:customStyle="1" w:styleId="ExhibitTitle">
    <w:name w:val="Exhibit Title"/>
    <w:basedOn w:val="Normal"/>
    <w:next w:val="Exhibit"/>
    <w:pPr>
      <w:keepNext/>
      <w:spacing w:before="0" w:after="0" w:line="280" w:lineRule="atLeast"/>
      <w:jc w:val="center"/>
    </w:pPr>
    <w:rPr>
      <w:rFonts w:ascii="Formata Regular" w:hAnsi="Formata Regular"/>
      <w:b/>
      <w:bCs/>
      <w:sz w:val="24"/>
      <w:szCs w:val="20"/>
    </w:rPr>
  </w:style>
  <w:style w:type="character" w:customStyle="1" w:styleId="BodyTextChar3">
    <w:name w:val="Body Text Char3"/>
    <w:aliases w:val="EIS Body Text Char1"/>
    <w:semiHidden/>
    <w:rPr>
      <w:sz w:val="22"/>
      <w:szCs w:val="24"/>
    </w:rPr>
  </w:style>
  <w:style w:type="table" w:styleId="TableGrid">
    <w:name w:val="Table Grid"/>
    <w:basedOn w:val="TableNormal"/>
    <w:uiPriority w:val="59"/>
    <w:rsid w:val="00F42E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notesindent">
    <w:name w:val="Table notes indent"/>
    <w:basedOn w:val="TableNotes"/>
    <w:qFormat/>
    <w:pPr>
      <w:ind w:left="216" w:hanging="216"/>
    </w:pPr>
  </w:style>
  <w:style w:type="character" w:customStyle="1" w:styleId="Heading2Char">
    <w:name w:val="Heading 2 Char"/>
    <w:uiPriority w:val="99"/>
    <w:rPr>
      <w:rFonts w:ascii="Arial Narrow" w:hAnsi="Arial Narrow"/>
      <w:b/>
      <w:bCs/>
      <w:color w:val="003366"/>
      <w:sz w:val="36"/>
      <w:szCs w:val="24"/>
    </w:rPr>
  </w:style>
  <w:style w:type="character" w:customStyle="1" w:styleId="BodyTextChar4">
    <w:name w:val="Body Text Char4"/>
    <w:aliases w:val="EIS Body Text Char2"/>
    <w:rPr>
      <w:sz w:val="22"/>
      <w:szCs w:val="24"/>
    </w:rPr>
  </w:style>
  <w:style w:type="character" w:customStyle="1" w:styleId="BodyTextIndentChar3">
    <w:name w:val="Body Text Indent Char3"/>
    <w:semiHidden/>
    <w:rPr>
      <w:sz w:val="22"/>
      <w:szCs w:val="24"/>
    </w:rPr>
  </w:style>
  <w:style w:type="character" w:customStyle="1" w:styleId="Heading3Char">
    <w:name w:val="Heading 3 Char"/>
    <w:uiPriority w:val="99"/>
    <w:rPr>
      <w:rFonts w:ascii="Arial Narrow" w:hAnsi="Arial Narrow" w:cs="Arial"/>
      <w:color w:val="003366"/>
      <w:sz w:val="36"/>
      <w:szCs w:val="36"/>
    </w:rPr>
  </w:style>
  <w:style w:type="character" w:customStyle="1" w:styleId="Heading4Char">
    <w:name w:val="Heading 4 Char"/>
    <w:uiPriority w:val="99"/>
    <w:rPr>
      <w:rFonts w:ascii="Arial Narrow" w:hAnsi="Arial Narrow" w:cs="Arial"/>
      <w:b/>
      <w:bCs/>
      <w:color w:val="003366"/>
      <w:sz w:val="30"/>
      <w:szCs w:val="30"/>
    </w:rPr>
  </w:style>
  <w:style w:type="character" w:customStyle="1" w:styleId="BodyTextChar5">
    <w:name w:val="Body Text Char5"/>
    <w:aliases w:val="EIS Body Text Char3"/>
    <w:link w:val="BodyText"/>
    <w:uiPriority w:val="99"/>
    <w:semiHidden/>
    <w:rsid w:val="00724825"/>
    <w:rPr>
      <w:sz w:val="22"/>
      <w:szCs w:val="24"/>
    </w:rPr>
  </w:style>
  <w:style w:type="character" w:customStyle="1" w:styleId="BodyTextIndentChar4">
    <w:name w:val="Body Text Indent Char4"/>
    <w:link w:val="BodyTextIndent"/>
    <w:semiHidden/>
    <w:rsid w:val="00724825"/>
    <w:rPr>
      <w:sz w:val="22"/>
      <w:szCs w:val="24"/>
    </w:rPr>
  </w:style>
  <w:style w:type="character" w:customStyle="1" w:styleId="FootnoteTextChar">
    <w:name w:val="Footnote Text Char"/>
    <w:link w:val="FootnoteText"/>
    <w:uiPriority w:val="99"/>
    <w:rsid w:val="00D12F07"/>
    <w:rPr>
      <w:rFonts w:ascii="Arial Narrow" w:hAnsi="Arial Narrow"/>
      <w:sz w:val="18"/>
      <w:szCs w:val="24"/>
    </w:rPr>
  </w:style>
  <w:style w:type="paragraph" w:customStyle="1" w:styleId="Table-Title-Center">
    <w:name w:val="Table - Title - Center"/>
    <w:basedOn w:val="Normal"/>
    <w:qFormat/>
    <w:rsid w:val="007753DE"/>
    <w:pPr>
      <w:spacing w:before="120" w:after="60" w:line="260" w:lineRule="exact"/>
      <w:jc w:val="center"/>
    </w:pPr>
    <w:rPr>
      <w:rFonts w:ascii="Calibri" w:eastAsia="Calibri" w:hAnsi="Calibri"/>
      <w:b/>
      <w:szCs w:val="22"/>
    </w:rPr>
  </w:style>
  <w:style w:type="character" w:customStyle="1" w:styleId="TableTextChar">
    <w:name w:val="Table Text Char"/>
    <w:link w:val="TableText"/>
    <w:rsid w:val="007753DE"/>
    <w:rPr>
      <w:rFonts w:ascii="Arial" w:hAnsi="Arial" w:cs="Arial"/>
      <w:sz w:val="17"/>
      <w:szCs w:val="17"/>
    </w:rPr>
  </w:style>
  <w:style w:type="character" w:customStyle="1" w:styleId="Heading5Char">
    <w:name w:val="Heading 5 Char"/>
    <w:basedOn w:val="DefaultParagraphFont"/>
    <w:link w:val="Heading5"/>
    <w:uiPriority w:val="99"/>
    <w:locked/>
    <w:rsid w:val="002D3F7D"/>
    <w:rPr>
      <w:rFonts w:ascii="Arial Narrow" w:hAnsi="Arial Narrow"/>
      <w:bCs/>
      <w:color w:val="003366"/>
      <w:sz w:val="30"/>
      <w:szCs w:val="26"/>
    </w:rPr>
  </w:style>
  <w:style w:type="character" w:customStyle="1" w:styleId="FooterChar">
    <w:name w:val="Footer Char"/>
    <w:basedOn w:val="DefaultParagraphFont"/>
    <w:link w:val="Footer"/>
    <w:semiHidden/>
    <w:rsid w:val="00C91511"/>
    <w:rPr>
      <w:rFonts w:ascii="Arial Narrow" w:hAnsi="Arial Narrow"/>
      <w:b/>
      <w:color w:val="80808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044">
      <w:bodyDiv w:val="1"/>
      <w:marLeft w:val="0"/>
      <w:marRight w:val="0"/>
      <w:marTop w:val="0"/>
      <w:marBottom w:val="0"/>
      <w:divBdr>
        <w:top w:val="none" w:sz="0" w:space="0" w:color="auto"/>
        <w:left w:val="none" w:sz="0" w:space="0" w:color="auto"/>
        <w:bottom w:val="none" w:sz="0" w:space="0" w:color="auto"/>
        <w:right w:val="none" w:sz="0" w:space="0" w:color="auto"/>
      </w:divBdr>
    </w:div>
    <w:div w:id="149366489">
      <w:bodyDiv w:val="1"/>
      <w:marLeft w:val="0"/>
      <w:marRight w:val="0"/>
      <w:marTop w:val="0"/>
      <w:marBottom w:val="0"/>
      <w:divBdr>
        <w:top w:val="none" w:sz="0" w:space="0" w:color="auto"/>
        <w:left w:val="none" w:sz="0" w:space="0" w:color="auto"/>
        <w:bottom w:val="none" w:sz="0" w:space="0" w:color="auto"/>
        <w:right w:val="none" w:sz="0" w:space="0" w:color="auto"/>
      </w:divBdr>
    </w:div>
    <w:div w:id="366493642">
      <w:bodyDiv w:val="1"/>
      <w:marLeft w:val="0"/>
      <w:marRight w:val="0"/>
      <w:marTop w:val="0"/>
      <w:marBottom w:val="0"/>
      <w:divBdr>
        <w:top w:val="none" w:sz="0" w:space="0" w:color="auto"/>
        <w:left w:val="none" w:sz="0" w:space="0" w:color="auto"/>
        <w:bottom w:val="none" w:sz="0" w:space="0" w:color="auto"/>
        <w:right w:val="none" w:sz="0" w:space="0" w:color="auto"/>
      </w:divBdr>
    </w:div>
    <w:div w:id="421341995">
      <w:bodyDiv w:val="1"/>
      <w:marLeft w:val="0"/>
      <w:marRight w:val="0"/>
      <w:marTop w:val="0"/>
      <w:marBottom w:val="0"/>
      <w:divBdr>
        <w:top w:val="none" w:sz="0" w:space="0" w:color="auto"/>
        <w:left w:val="none" w:sz="0" w:space="0" w:color="auto"/>
        <w:bottom w:val="none" w:sz="0" w:space="0" w:color="auto"/>
        <w:right w:val="none" w:sz="0" w:space="0" w:color="auto"/>
      </w:divBdr>
    </w:div>
    <w:div w:id="502555044">
      <w:bodyDiv w:val="1"/>
      <w:marLeft w:val="0"/>
      <w:marRight w:val="0"/>
      <w:marTop w:val="0"/>
      <w:marBottom w:val="0"/>
      <w:divBdr>
        <w:top w:val="none" w:sz="0" w:space="0" w:color="auto"/>
        <w:left w:val="none" w:sz="0" w:space="0" w:color="auto"/>
        <w:bottom w:val="none" w:sz="0" w:space="0" w:color="auto"/>
        <w:right w:val="none" w:sz="0" w:space="0" w:color="auto"/>
      </w:divBdr>
    </w:div>
    <w:div w:id="555362285">
      <w:bodyDiv w:val="1"/>
      <w:marLeft w:val="0"/>
      <w:marRight w:val="0"/>
      <w:marTop w:val="0"/>
      <w:marBottom w:val="0"/>
      <w:divBdr>
        <w:top w:val="none" w:sz="0" w:space="0" w:color="auto"/>
        <w:left w:val="none" w:sz="0" w:space="0" w:color="auto"/>
        <w:bottom w:val="none" w:sz="0" w:space="0" w:color="auto"/>
        <w:right w:val="none" w:sz="0" w:space="0" w:color="auto"/>
      </w:divBdr>
    </w:div>
    <w:div w:id="615478251">
      <w:bodyDiv w:val="1"/>
      <w:marLeft w:val="0"/>
      <w:marRight w:val="0"/>
      <w:marTop w:val="0"/>
      <w:marBottom w:val="0"/>
      <w:divBdr>
        <w:top w:val="none" w:sz="0" w:space="0" w:color="auto"/>
        <w:left w:val="none" w:sz="0" w:space="0" w:color="auto"/>
        <w:bottom w:val="none" w:sz="0" w:space="0" w:color="auto"/>
        <w:right w:val="none" w:sz="0" w:space="0" w:color="auto"/>
      </w:divBdr>
      <w:divsChild>
        <w:div w:id="2034766410">
          <w:marLeft w:val="0"/>
          <w:marRight w:val="0"/>
          <w:marTop w:val="0"/>
          <w:marBottom w:val="0"/>
          <w:divBdr>
            <w:top w:val="none" w:sz="0" w:space="0" w:color="auto"/>
            <w:left w:val="none" w:sz="0" w:space="0" w:color="auto"/>
            <w:bottom w:val="none" w:sz="0" w:space="0" w:color="auto"/>
            <w:right w:val="none" w:sz="0" w:space="0" w:color="auto"/>
          </w:divBdr>
          <w:divsChild>
            <w:div w:id="963148255">
              <w:marLeft w:val="0"/>
              <w:marRight w:val="0"/>
              <w:marTop w:val="0"/>
              <w:marBottom w:val="0"/>
              <w:divBdr>
                <w:top w:val="none" w:sz="0" w:space="0" w:color="auto"/>
                <w:left w:val="none" w:sz="0" w:space="0" w:color="auto"/>
                <w:bottom w:val="none" w:sz="0" w:space="0" w:color="auto"/>
                <w:right w:val="none" w:sz="0" w:space="0" w:color="auto"/>
              </w:divBdr>
              <w:divsChild>
                <w:div w:id="792988117">
                  <w:marLeft w:val="0"/>
                  <w:marRight w:val="0"/>
                  <w:marTop w:val="0"/>
                  <w:marBottom w:val="0"/>
                  <w:divBdr>
                    <w:top w:val="none" w:sz="0" w:space="12" w:color="auto"/>
                    <w:left w:val="none" w:sz="0" w:space="12" w:color="auto"/>
                    <w:bottom w:val="none" w:sz="0" w:space="12" w:color="auto"/>
                    <w:right w:val="none" w:sz="0" w:space="12" w:color="auto"/>
                  </w:divBdr>
                  <w:divsChild>
                    <w:div w:id="1713573623">
                      <w:marLeft w:val="0"/>
                      <w:marRight w:val="0"/>
                      <w:marTop w:val="0"/>
                      <w:marBottom w:val="0"/>
                      <w:divBdr>
                        <w:top w:val="none" w:sz="0" w:space="12" w:color="auto"/>
                        <w:left w:val="none" w:sz="0" w:space="12" w:color="auto"/>
                        <w:bottom w:val="none" w:sz="0" w:space="12" w:color="auto"/>
                        <w:right w:val="none" w:sz="0" w:space="12" w:color="auto"/>
                      </w:divBdr>
                      <w:divsChild>
                        <w:div w:id="1090543011">
                          <w:marLeft w:val="0"/>
                          <w:marRight w:val="0"/>
                          <w:marTop w:val="0"/>
                          <w:marBottom w:val="0"/>
                          <w:divBdr>
                            <w:top w:val="none" w:sz="0" w:space="0" w:color="auto"/>
                            <w:left w:val="none" w:sz="0" w:space="0" w:color="auto"/>
                            <w:bottom w:val="none" w:sz="0" w:space="0" w:color="auto"/>
                            <w:right w:val="none" w:sz="0" w:space="0" w:color="auto"/>
                          </w:divBdr>
                          <w:divsChild>
                            <w:div w:id="1504710188">
                              <w:marLeft w:val="-225"/>
                              <w:marRight w:val="-225"/>
                              <w:marTop w:val="0"/>
                              <w:marBottom w:val="0"/>
                              <w:divBdr>
                                <w:top w:val="none" w:sz="0" w:space="0" w:color="auto"/>
                                <w:left w:val="none" w:sz="0" w:space="0" w:color="auto"/>
                                <w:bottom w:val="none" w:sz="0" w:space="0" w:color="auto"/>
                                <w:right w:val="none" w:sz="0" w:space="0" w:color="auto"/>
                              </w:divBdr>
                              <w:divsChild>
                                <w:div w:id="1808543726">
                                  <w:marLeft w:val="0"/>
                                  <w:marRight w:val="0"/>
                                  <w:marTop w:val="0"/>
                                  <w:marBottom w:val="0"/>
                                  <w:divBdr>
                                    <w:top w:val="none" w:sz="0" w:space="0" w:color="auto"/>
                                    <w:left w:val="none" w:sz="0" w:space="0" w:color="auto"/>
                                    <w:bottom w:val="none" w:sz="0" w:space="0" w:color="auto"/>
                                    <w:right w:val="none" w:sz="0" w:space="0" w:color="auto"/>
                                  </w:divBdr>
                                  <w:divsChild>
                                    <w:div w:id="1229539603">
                                      <w:marLeft w:val="0"/>
                                      <w:marRight w:val="0"/>
                                      <w:marTop w:val="0"/>
                                      <w:marBottom w:val="0"/>
                                      <w:divBdr>
                                        <w:top w:val="none" w:sz="0" w:space="0" w:color="auto"/>
                                        <w:left w:val="none" w:sz="0" w:space="0" w:color="auto"/>
                                        <w:bottom w:val="none" w:sz="0" w:space="0" w:color="auto"/>
                                        <w:right w:val="none" w:sz="0" w:space="0" w:color="auto"/>
                                      </w:divBdr>
                                      <w:divsChild>
                                        <w:div w:id="1356689244">
                                          <w:marLeft w:val="0"/>
                                          <w:marRight w:val="0"/>
                                          <w:marTop w:val="0"/>
                                          <w:marBottom w:val="0"/>
                                          <w:divBdr>
                                            <w:top w:val="none" w:sz="0" w:space="0" w:color="auto"/>
                                            <w:left w:val="none" w:sz="0" w:space="0" w:color="auto"/>
                                            <w:bottom w:val="none" w:sz="0" w:space="0" w:color="auto"/>
                                            <w:right w:val="none" w:sz="0" w:space="0" w:color="auto"/>
                                          </w:divBdr>
                                          <w:divsChild>
                                            <w:div w:id="585696419">
                                              <w:marLeft w:val="0"/>
                                              <w:marRight w:val="0"/>
                                              <w:marTop w:val="0"/>
                                              <w:marBottom w:val="0"/>
                                              <w:divBdr>
                                                <w:top w:val="none" w:sz="0" w:space="0" w:color="auto"/>
                                                <w:left w:val="none" w:sz="0" w:space="0" w:color="auto"/>
                                                <w:bottom w:val="none" w:sz="0" w:space="0" w:color="auto"/>
                                                <w:right w:val="none" w:sz="0" w:space="0" w:color="auto"/>
                                              </w:divBdr>
                                            </w:div>
                                            <w:div w:id="1464494896">
                                              <w:marLeft w:val="0"/>
                                              <w:marRight w:val="0"/>
                                              <w:marTop w:val="0"/>
                                              <w:marBottom w:val="0"/>
                                              <w:divBdr>
                                                <w:top w:val="none" w:sz="0" w:space="0" w:color="auto"/>
                                                <w:left w:val="none" w:sz="0" w:space="0" w:color="auto"/>
                                                <w:bottom w:val="none" w:sz="0" w:space="0" w:color="auto"/>
                                                <w:right w:val="none" w:sz="0" w:space="0" w:color="auto"/>
                                              </w:divBdr>
                                            </w:div>
                                            <w:div w:id="9859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633700">
      <w:bodyDiv w:val="1"/>
      <w:marLeft w:val="0"/>
      <w:marRight w:val="0"/>
      <w:marTop w:val="0"/>
      <w:marBottom w:val="0"/>
      <w:divBdr>
        <w:top w:val="none" w:sz="0" w:space="0" w:color="auto"/>
        <w:left w:val="none" w:sz="0" w:space="0" w:color="auto"/>
        <w:bottom w:val="none" w:sz="0" w:space="0" w:color="auto"/>
        <w:right w:val="none" w:sz="0" w:space="0" w:color="auto"/>
      </w:divBdr>
    </w:div>
    <w:div w:id="745953914">
      <w:bodyDiv w:val="1"/>
      <w:marLeft w:val="0"/>
      <w:marRight w:val="0"/>
      <w:marTop w:val="0"/>
      <w:marBottom w:val="0"/>
      <w:divBdr>
        <w:top w:val="none" w:sz="0" w:space="0" w:color="auto"/>
        <w:left w:val="none" w:sz="0" w:space="0" w:color="auto"/>
        <w:bottom w:val="none" w:sz="0" w:space="0" w:color="auto"/>
        <w:right w:val="none" w:sz="0" w:space="0" w:color="auto"/>
      </w:divBdr>
    </w:div>
    <w:div w:id="833834333">
      <w:bodyDiv w:val="1"/>
      <w:marLeft w:val="0"/>
      <w:marRight w:val="0"/>
      <w:marTop w:val="0"/>
      <w:marBottom w:val="0"/>
      <w:divBdr>
        <w:top w:val="none" w:sz="0" w:space="0" w:color="auto"/>
        <w:left w:val="none" w:sz="0" w:space="0" w:color="auto"/>
        <w:bottom w:val="none" w:sz="0" w:space="0" w:color="auto"/>
        <w:right w:val="none" w:sz="0" w:space="0" w:color="auto"/>
      </w:divBdr>
    </w:div>
    <w:div w:id="1237787080">
      <w:bodyDiv w:val="1"/>
      <w:marLeft w:val="0"/>
      <w:marRight w:val="0"/>
      <w:marTop w:val="0"/>
      <w:marBottom w:val="0"/>
      <w:divBdr>
        <w:top w:val="none" w:sz="0" w:space="0" w:color="auto"/>
        <w:left w:val="none" w:sz="0" w:space="0" w:color="auto"/>
        <w:bottom w:val="none" w:sz="0" w:space="0" w:color="auto"/>
        <w:right w:val="none" w:sz="0" w:space="0" w:color="auto"/>
      </w:divBdr>
    </w:div>
    <w:div w:id="1268777841">
      <w:bodyDiv w:val="1"/>
      <w:marLeft w:val="0"/>
      <w:marRight w:val="0"/>
      <w:marTop w:val="0"/>
      <w:marBottom w:val="0"/>
      <w:divBdr>
        <w:top w:val="none" w:sz="0" w:space="0" w:color="auto"/>
        <w:left w:val="none" w:sz="0" w:space="0" w:color="auto"/>
        <w:bottom w:val="none" w:sz="0" w:space="0" w:color="auto"/>
        <w:right w:val="none" w:sz="0" w:space="0" w:color="auto"/>
      </w:divBdr>
    </w:div>
    <w:div w:id="1477995226">
      <w:bodyDiv w:val="1"/>
      <w:marLeft w:val="0"/>
      <w:marRight w:val="0"/>
      <w:marTop w:val="0"/>
      <w:marBottom w:val="0"/>
      <w:divBdr>
        <w:top w:val="none" w:sz="0" w:space="0" w:color="auto"/>
        <w:left w:val="none" w:sz="0" w:space="0" w:color="auto"/>
        <w:bottom w:val="none" w:sz="0" w:space="0" w:color="auto"/>
        <w:right w:val="none" w:sz="0" w:space="0" w:color="auto"/>
      </w:divBdr>
    </w:div>
    <w:div w:id="1665086107">
      <w:bodyDiv w:val="1"/>
      <w:marLeft w:val="0"/>
      <w:marRight w:val="0"/>
      <w:marTop w:val="0"/>
      <w:marBottom w:val="0"/>
      <w:divBdr>
        <w:top w:val="none" w:sz="0" w:space="0" w:color="auto"/>
        <w:left w:val="none" w:sz="0" w:space="0" w:color="auto"/>
        <w:bottom w:val="none" w:sz="0" w:space="0" w:color="auto"/>
        <w:right w:val="none" w:sz="0" w:space="0" w:color="auto"/>
      </w:divBdr>
    </w:div>
    <w:div w:id="1871532150">
      <w:bodyDiv w:val="1"/>
      <w:marLeft w:val="0"/>
      <w:marRight w:val="0"/>
      <w:marTop w:val="0"/>
      <w:marBottom w:val="0"/>
      <w:divBdr>
        <w:top w:val="none" w:sz="0" w:space="0" w:color="auto"/>
        <w:left w:val="none" w:sz="0" w:space="0" w:color="auto"/>
        <w:bottom w:val="none" w:sz="0" w:space="0" w:color="auto"/>
        <w:right w:val="none" w:sz="0" w:space="0" w:color="auto"/>
      </w:divBdr>
    </w:div>
    <w:div w:id="2070833986">
      <w:bodyDiv w:val="1"/>
      <w:marLeft w:val="0"/>
      <w:marRight w:val="0"/>
      <w:marTop w:val="0"/>
      <w:marBottom w:val="0"/>
      <w:divBdr>
        <w:top w:val="none" w:sz="0" w:space="0" w:color="auto"/>
        <w:left w:val="none" w:sz="0" w:space="0" w:color="auto"/>
        <w:bottom w:val="none" w:sz="0" w:space="0" w:color="auto"/>
        <w:right w:val="none" w:sz="0" w:space="0" w:color="auto"/>
      </w:divBdr>
      <w:divsChild>
        <w:div w:id="1096553887">
          <w:marLeft w:val="0"/>
          <w:marRight w:val="0"/>
          <w:marTop w:val="0"/>
          <w:marBottom w:val="0"/>
          <w:divBdr>
            <w:top w:val="none" w:sz="0" w:space="0" w:color="auto"/>
            <w:left w:val="none" w:sz="0" w:space="0" w:color="auto"/>
            <w:bottom w:val="none" w:sz="0" w:space="0" w:color="auto"/>
            <w:right w:val="none" w:sz="0" w:space="0" w:color="auto"/>
          </w:divBdr>
          <w:divsChild>
            <w:div w:id="1865096172">
              <w:marLeft w:val="0"/>
              <w:marRight w:val="0"/>
              <w:marTop w:val="0"/>
              <w:marBottom w:val="0"/>
              <w:divBdr>
                <w:top w:val="none" w:sz="0" w:space="0" w:color="auto"/>
                <w:left w:val="none" w:sz="0" w:space="0" w:color="auto"/>
                <w:bottom w:val="none" w:sz="0" w:space="0" w:color="auto"/>
                <w:right w:val="none" w:sz="0" w:space="0" w:color="auto"/>
              </w:divBdr>
              <w:divsChild>
                <w:div w:id="1923754647">
                  <w:marLeft w:val="0"/>
                  <w:marRight w:val="0"/>
                  <w:marTop w:val="0"/>
                  <w:marBottom w:val="0"/>
                  <w:divBdr>
                    <w:top w:val="none" w:sz="0" w:space="12" w:color="auto"/>
                    <w:left w:val="none" w:sz="0" w:space="12" w:color="auto"/>
                    <w:bottom w:val="none" w:sz="0" w:space="12" w:color="auto"/>
                    <w:right w:val="none" w:sz="0" w:space="12" w:color="auto"/>
                  </w:divBdr>
                  <w:divsChild>
                    <w:div w:id="103306155">
                      <w:marLeft w:val="0"/>
                      <w:marRight w:val="0"/>
                      <w:marTop w:val="0"/>
                      <w:marBottom w:val="0"/>
                      <w:divBdr>
                        <w:top w:val="none" w:sz="0" w:space="12" w:color="auto"/>
                        <w:left w:val="none" w:sz="0" w:space="12" w:color="auto"/>
                        <w:bottom w:val="none" w:sz="0" w:space="12" w:color="auto"/>
                        <w:right w:val="none" w:sz="0" w:space="12" w:color="auto"/>
                      </w:divBdr>
                      <w:divsChild>
                        <w:div w:id="324092699">
                          <w:marLeft w:val="0"/>
                          <w:marRight w:val="0"/>
                          <w:marTop w:val="0"/>
                          <w:marBottom w:val="0"/>
                          <w:divBdr>
                            <w:top w:val="none" w:sz="0" w:space="0" w:color="auto"/>
                            <w:left w:val="none" w:sz="0" w:space="0" w:color="auto"/>
                            <w:bottom w:val="none" w:sz="0" w:space="0" w:color="auto"/>
                            <w:right w:val="none" w:sz="0" w:space="0" w:color="auto"/>
                          </w:divBdr>
                          <w:divsChild>
                            <w:div w:id="1312561755">
                              <w:marLeft w:val="-225"/>
                              <w:marRight w:val="-225"/>
                              <w:marTop w:val="0"/>
                              <w:marBottom w:val="0"/>
                              <w:divBdr>
                                <w:top w:val="none" w:sz="0" w:space="0" w:color="auto"/>
                                <w:left w:val="none" w:sz="0" w:space="0" w:color="auto"/>
                                <w:bottom w:val="none" w:sz="0" w:space="0" w:color="auto"/>
                                <w:right w:val="none" w:sz="0" w:space="0" w:color="auto"/>
                              </w:divBdr>
                              <w:divsChild>
                                <w:div w:id="1654524607">
                                  <w:marLeft w:val="0"/>
                                  <w:marRight w:val="0"/>
                                  <w:marTop w:val="0"/>
                                  <w:marBottom w:val="0"/>
                                  <w:divBdr>
                                    <w:top w:val="none" w:sz="0" w:space="0" w:color="auto"/>
                                    <w:left w:val="none" w:sz="0" w:space="0" w:color="auto"/>
                                    <w:bottom w:val="none" w:sz="0" w:space="0" w:color="auto"/>
                                    <w:right w:val="none" w:sz="0" w:space="0" w:color="auto"/>
                                  </w:divBdr>
                                  <w:divsChild>
                                    <w:div w:id="966666879">
                                      <w:marLeft w:val="0"/>
                                      <w:marRight w:val="0"/>
                                      <w:marTop w:val="0"/>
                                      <w:marBottom w:val="0"/>
                                      <w:divBdr>
                                        <w:top w:val="none" w:sz="0" w:space="0" w:color="auto"/>
                                        <w:left w:val="none" w:sz="0" w:space="0" w:color="auto"/>
                                        <w:bottom w:val="none" w:sz="0" w:space="0" w:color="auto"/>
                                        <w:right w:val="none" w:sz="0" w:space="0" w:color="auto"/>
                                      </w:divBdr>
                                      <w:divsChild>
                                        <w:div w:id="60905950">
                                          <w:marLeft w:val="0"/>
                                          <w:marRight w:val="0"/>
                                          <w:marTop w:val="0"/>
                                          <w:marBottom w:val="0"/>
                                          <w:divBdr>
                                            <w:top w:val="none" w:sz="0" w:space="0" w:color="auto"/>
                                            <w:left w:val="none" w:sz="0" w:space="0" w:color="auto"/>
                                            <w:bottom w:val="none" w:sz="0" w:space="0" w:color="auto"/>
                                            <w:right w:val="none" w:sz="0" w:space="0" w:color="auto"/>
                                          </w:divBdr>
                                          <w:divsChild>
                                            <w:div w:id="1691492308">
                                              <w:marLeft w:val="0"/>
                                              <w:marRight w:val="0"/>
                                              <w:marTop w:val="0"/>
                                              <w:marBottom w:val="0"/>
                                              <w:divBdr>
                                                <w:top w:val="none" w:sz="0" w:space="0" w:color="auto"/>
                                                <w:left w:val="none" w:sz="0" w:space="0" w:color="auto"/>
                                                <w:bottom w:val="none" w:sz="0" w:space="0" w:color="auto"/>
                                                <w:right w:val="none" w:sz="0" w:space="0" w:color="auto"/>
                                              </w:divBdr>
                                            </w:div>
                                            <w:div w:id="256209893">
                                              <w:marLeft w:val="0"/>
                                              <w:marRight w:val="0"/>
                                              <w:marTop w:val="0"/>
                                              <w:marBottom w:val="0"/>
                                              <w:divBdr>
                                                <w:top w:val="none" w:sz="0" w:space="0" w:color="auto"/>
                                                <w:left w:val="none" w:sz="0" w:space="0" w:color="auto"/>
                                                <w:bottom w:val="none" w:sz="0" w:space="0" w:color="auto"/>
                                                <w:right w:val="none" w:sz="0" w:space="0" w:color="auto"/>
                                              </w:divBdr>
                                            </w:div>
                                            <w:div w:id="11282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8.xml"/><Relationship Id="rId42" Type="http://schemas.openxmlformats.org/officeDocument/2006/relationships/image" Target="media/image16.emf"/><Relationship Id="rId47" Type="http://schemas.openxmlformats.org/officeDocument/2006/relationships/header" Target="header7.xm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package" Target="embeddings/Microsoft_Excel_Worksheet1.xlsx"/><Relationship Id="rId25" Type="http://schemas.openxmlformats.org/officeDocument/2006/relationships/chart" Target="charts/chart4.xml"/><Relationship Id="rId33" Type="http://schemas.openxmlformats.org/officeDocument/2006/relationships/image" Target="media/image10.emf"/><Relationship Id="rId38" Type="http://schemas.openxmlformats.org/officeDocument/2006/relationships/chart" Target="charts/chart10.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8.e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5.emf"/><Relationship Id="rId32" Type="http://schemas.openxmlformats.org/officeDocument/2006/relationships/chart" Target="charts/chart7.xml"/><Relationship Id="rId37" Type="http://schemas.openxmlformats.org/officeDocument/2006/relationships/image" Target="media/image12.emf"/><Relationship Id="rId40" Type="http://schemas.openxmlformats.org/officeDocument/2006/relationships/image" Target="media/image14.emf"/><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3.xml"/><Relationship Id="rId28" Type="http://schemas.openxmlformats.org/officeDocument/2006/relationships/chart" Target="charts/chart5.xml"/><Relationship Id="rId36" Type="http://schemas.openxmlformats.org/officeDocument/2006/relationships/chart" Target="charts/chart9.xm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chart" Target="charts/chart1.xml"/><Relationship Id="rId31" Type="http://schemas.openxmlformats.org/officeDocument/2006/relationships/image" Target="media/image9.emf"/><Relationship Id="rId44" Type="http://schemas.openxmlformats.org/officeDocument/2006/relationships/header" Target="header5.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emf"/><Relationship Id="rId27" Type="http://schemas.openxmlformats.org/officeDocument/2006/relationships/image" Target="media/image7.emf"/><Relationship Id="rId30" Type="http://schemas.openxmlformats.org/officeDocument/2006/relationships/chart" Target="charts/chart6.xml"/><Relationship Id="rId35" Type="http://schemas.openxmlformats.org/officeDocument/2006/relationships/image" Target="media/image11.emf"/><Relationship Id="rId43" Type="http://schemas.openxmlformats.org/officeDocument/2006/relationships/header" Target="header4.xm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7.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8.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9.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063753125533864"/>
          <c:y val="4.2188157247353975E-2"/>
          <c:w val="0.8375282183526741"/>
          <c:h val="0.89118382775516491"/>
        </c:manualLayout>
      </c:layout>
      <c:lineChart>
        <c:grouping val="standard"/>
        <c:varyColors val="0"/>
        <c:ser>
          <c:idx val="0"/>
          <c:order val="0"/>
          <c:tx>
            <c:v>Unrestricted Road Revenues for Construction</c:v>
          </c:tx>
          <c:marker>
            <c:symbol val="none"/>
          </c:marker>
          <c:cat>
            <c:numRef>
              <c:f>'Data for Chart'!$A$4:$A$47</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'Data for Chart'!$E$4:$E$47</c:f>
              <c:numCache>
                <c:formatCode>_(* #,##0_);_(* \(#,##0\);_(* "-"_);_(@_)</c:formatCode>
                <c:ptCount val="44"/>
                <c:pt idx="0">
                  <c:v>4169757.1999999997</c:v>
                </c:pt>
                <c:pt idx="1">
                  <c:v>2712519.3799999994</c:v>
                </c:pt>
                <c:pt idx="2">
                  <c:v>1540794.2399999998</c:v>
                </c:pt>
                <c:pt idx="3">
                  <c:v>3673315.51</c:v>
                </c:pt>
                <c:pt idx="4">
                  <c:v>6702333.5999999996</c:v>
                </c:pt>
                <c:pt idx="5">
                  <c:v>6823984.9299999997</c:v>
                </c:pt>
                <c:pt idx="6">
                  <c:v>5089712.62</c:v>
                </c:pt>
                <c:pt idx="7">
                  <c:v>3346465.85</c:v>
                </c:pt>
                <c:pt idx="8">
                  <c:v>5518166.9199999999</c:v>
                </c:pt>
                <c:pt idx="9">
                  <c:v>4975340.4800000004</c:v>
                </c:pt>
                <c:pt idx="10">
                  <c:v>3719373.8899999997</c:v>
                </c:pt>
                <c:pt idx="11">
                  <c:v>6125814.9400000004</c:v>
                </c:pt>
                <c:pt idx="12">
                  <c:v>5457507.7000000011</c:v>
                </c:pt>
                <c:pt idx="13">
                  <c:v>4406878.88</c:v>
                </c:pt>
                <c:pt idx="14">
                  <c:v>7391043.3800000008</c:v>
                </c:pt>
                <c:pt idx="15">
                  <c:v>3069590.3699999996</c:v>
                </c:pt>
                <c:pt idx="16">
                  <c:v>1497463.129999999</c:v>
                </c:pt>
                <c:pt idx="17">
                  <c:v>1224055.6199999992</c:v>
                </c:pt>
                <c:pt idx="18">
                  <c:v>1911751.0600000005</c:v>
                </c:pt>
                <c:pt idx="19">
                  <c:v>2993036.58</c:v>
                </c:pt>
                <c:pt idx="20">
                  <c:v>732890.96</c:v>
                </c:pt>
                <c:pt idx="21">
                  <c:v>2012237</c:v>
                </c:pt>
                <c:pt idx="22">
                  <c:v>6432149</c:v>
                </c:pt>
                <c:pt idx="23">
                  <c:v>4496588</c:v>
                </c:pt>
                <c:pt idx="24">
                  <c:v>4546789</c:v>
                </c:pt>
                <c:pt idx="25">
                  <c:v>4582777</c:v>
                </c:pt>
                <c:pt idx="26">
                  <c:v>4619091</c:v>
                </c:pt>
                <c:pt idx="27">
                  <c:v>4655737</c:v>
                </c:pt>
                <c:pt idx="28">
                  <c:v>4676762</c:v>
                </c:pt>
                <c:pt idx="29">
                  <c:v>4713789</c:v>
                </c:pt>
                <c:pt idx="30">
                  <c:v>4760311</c:v>
                </c:pt>
                <c:pt idx="31">
                  <c:v>4809436</c:v>
                </c:pt>
                <c:pt idx="32">
                  <c:v>4858919</c:v>
                </c:pt>
                <c:pt idx="33">
                  <c:v>4908768</c:v>
                </c:pt>
                <c:pt idx="34">
                  <c:v>4958990</c:v>
                </c:pt>
                <c:pt idx="35">
                  <c:v>5009591</c:v>
                </c:pt>
                <c:pt idx="36">
                  <c:v>5060578</c:v>
                </c:pt>
                <c:pt idx="37">
                  <c:v>5111960</c:v>
                </c:pt>
                <c:pt idx="38">
                  <c:v>5163742</c:v>
                </c:pt>
                <c:pt idx="39">
                  <c:v>5215934</c:v>
                </c:pt>
                <c:pt idx="40">
                  <c:v>5268542</c:v>
                </c:pt>
                <c:pt idx="41">
                  <c:v>5321575</c:v>
                </c:pt>
                <c:pt idx="42">
                  <c:v>5375041</c:v>
                </c:pt>
                <c:pt idx="43">
                  <c:v>5428947</c:v>
                </c:pt>
              </c:numCache>
            </c:numRef>
          </c:val>
          <c:smooth val="0"/>
        </c:ser>
        <c:dLbls>
          <c:showLegendKey val="0"/>
          <c:showVal val="0"/>
          <c:showCatName val="0"/>
          <c:showSerName val="0"/>
          <c:showPercent val="0"/>
          <c:showBubbleSize val="0"/>
        </c:dLbls>
        <c:marker val="1"/>
        <c:smooth val="0"/>
        <c:axId val="105393152"/>
        <c:axId val="105646720"/>
      </c:lineChart>
      <c:catAx>
        <c:axId val="105393152"/>
        <c:scaling>
          <c:orientation val="minMax"/>
        </c:scaling>
        <c:delete val="0"/>
        <c:axPos val="b"/>
        <c:numFmt formatCode="General" sourceLinked="1"/>
        <c:majorTickMark val="out"/>
        <c:minorTickMark val="none"/>
        <c:tickLblPos val="nextTo"/>
        <c:crossAx val="105646720"/>
        <c:crosses val="autoZero"/>
        <c:auto val="1"/>
        <c:lblAlgn val="ctr"/>
        <c:lblOffset val="100"/>
        <c:tickLblSkip val="3"/>
        <c:noMultiLvlLbl val="0"/>
      </c:catAx>
      <c:valAx>
        <c:axId val="105646720"/>
        <c:scaling>
          <c:orientation val="minMax"/>
        </c:scaling>
        <c:delete val="0"/>
        <c:axPos val="l"/>
        <c:majorGridlines/>
        <c:numFmt formatCode="_(&quot;$&quot;* #,##0_);_(&quot;$&quot;* \(#,##0\);_(&quot;$&quot;* &quot;-&quot;_);_(@_)" sourceLinked="0"/>
        <c:majorTickMark val="out"/>
        <c:minorTickMark val="none"/>
        <c:tickLblPos val="nextTo"/>
        <c:crossAx val="105393152"/>
        <c:crosses val="autoZero"/>
        <c:crossBetween val="midCat"/>
      </c:valAx>
      <c:spPr>
        <a:ln>
          <a:solidFill>
            <a:schemeClr val="tx1"/>
          </a:solidFill>
        </a:ln>
      </c:spPr>
    </c:plotArea>
    <c:legend>
      <c:legendPos val="r"/>
      <c:layout>
        <c:manualLayout>
          <c:xMode val="edge"/>
          <c:yMode val="edge"/>
          <c:x val="0.61302023637577852"/>
          <c:y val="0.62430598708522977"/>
          <c:w val="0.27637697926846166"/>
          <c:h val="9.8285236976846935E-2"/>
        </c:manualLayout>
      </c:layout>
      <c:overlay val="0"/>
    </c:legend>
    <c:plotVisOnly val="1"/>
    <c:dispBlanksAs val="gap"/>
    <c:showDLblsOverMax val="0"/>
  </c:chart>
  <c:spPr>
    <a:ln>
      <a:noFill/>
    </a:ln>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840177580466"/>
          <c:y val="2.2900252517040712E-2"/>
          <c:w val="0.82685904550499445"/>
          <c:h val="0.90858417594108554"/>
        </c:manualLayout>
      </c:layout>
      <c:lineChart>
        <c:grouping val="standard"/>
        <c:varyColors val="0"/>
        <c:ser>
          <c:idx val="0"/>
          <c:order val="0"/>
          <c:tx>
            <c:v>Federal Grant Revenues</c:v>
          </c:tx>
          <c:spPr>
            <a:ln w="38100">
              <a:solidFill>
                <a:srgbClr val="99CC00"/>
              </a:solidFill>
              <a:prstDash val="solid"/>
            </a:ln>
          </c:spPr>
          <c:marker>
            <c:symbol val="none"/>
          </c:marker>
          <c:cat>
            <c:numRef>
              <c:f>GrantRevPerCapita!$A$9:$A$52</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GrantRevPerCapita!$C$9:$C$52</c:f>
              <c:numCache>
                <c:formatCode>_(* #,##0_);_(* \(#,##0\);_(* "-"_);_(@_)</c:formatCode>
                <c:ptCount val="4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465547</c:v>
                </c:pt>
                <c:pt idx="19">
                  <c:v>116377</c:v>
                </c:pt>
                <c:pt idx="20">
                  <c:v>0</c:v>
                </c:pt>
                <c:pt idx="21">
                  <c:v>0</c:v>
                </c:pt>
                <c:pt idx="22">
                  <c:v>0</c:v>
                </c:pt>
                <c:pt idx="23">
                  <c:v>85579.8</c:v>
                </c:pt>
                <c:pt idx="24">
                  <c:v>85848.278466399992</c:v>
                </c:pt>
                <c:pt idx="25">
                  <c:v>86110.458166815326</c:v>
                </c:pt>
                <c:pt idx="26">
                  <c:v>86366.095507193488</c:v>
                </c:pt>
                <c:pt idx="27">
                  <c:v>86616.843350650102</c:v>
                </c:pt>
                <c:pt idx="28">
                  <c:v>86860.537149141965</c:v>
                </c:pt>
                <c:pt idx="29">
                  <c:v>87097.872323839081</c:v>
                </c:pt>
                <c:pt idx="30">
                  <c:v>87329.526776516985</c:v>
                </c:pt>
                <c:pt idx="31">
                  <c:v>87553.324451554654</c:v>
                </c:pt>
                <c:pt idx="32">
                  <c:v>87769.935278378063</c:v>
                </c:pt>
                <c:pt idx="33">
                  <c:v>87982.875113066795</c:v>
                </c:pt>
                <c:pt idx="34">
                  <c:v>88185.191862311258</c:v>
                </c:pt>
                <c:pt idx="35">
                  <c:v>88381.342855956696</c:v>
                </c:pt>
                <c:pt idx="36">
                  <c:v>88569.117350453744</c:v>
                </c:pt>
                <c:pt idx="37">
                  <c:v>88748.200082798736</c:v>
                </c:pt>
                <c:pt idx="38">
                  <c:v>88921.12120480297</c:v>
                </c:pt>
                <c:pt idx="39">
                  <c:v>89084.706216405611</c:v>
                </c:pt>
                <c:pt idx="40">
                  <c:v>89239.562081217024</c:v>
                </c:pt>
                <c:pt idx="41">
                  <c:v>89384.390773726249</c:v>
                </c:pt>
                <c:pt idx="42">
                  <c:v>89520.739206739323</c:v>
                </c:pt>
                <c:pt idx="43">
                  <c:v>89647.764657762149</c:v>
                </c:pt>
              </c:numCache>
            </c:numRef>
          </c:val>
          <c:smooth val="0"/>
        </c:ser>
        <c:dLbls>
          <c:showLegendKey val="0"/>
          <c:showVal val="0"/>
          <c:showCatName val="0"/>
          <c:showSerName val="0"/>
          <c:showPercent val="0"/>
          <c:showBubbleSize val="0"/>
        </c:dLbls>
        <c:marker val="1"/>
        <c:smooth val="0"/>
        <c:axId val="111697920"/>
        <c:axId val="111699456"/>
      </c:lineChart>
      <c:catAx>
        <c:axId val="1116979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699456"/>
        <c:crosses val="autoZero"/>
        <c:auto val="1"/>
        <c:lblAlgn val="ctr"/>
        <c:lblOffset val="100"/>
        <c:tickLblSkip val="3"/>
        <c:tickMarkSkip val="1"/>
        <c:noMultiLvlLbl val="0"/>
      </c:catAx>
      <c:valAx>
        <c:axId val="111699456"/>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697920"/>
        <c:crosses val="autoZero"/>
        <c:crossBetween val="midCat"/>
        <c:majorUnit val="100000"/>
      </c:valAx>
      <c:spPr>
        <a:solidFill>
          <a:srgbClr val="FFFFFF"/>
        </a:solidFill>
        <a:ln w="12700">
          <a:solidFill>
            <a:srgbClr val="808080"/>
          </a:solidFill>
          <a:prstDash val="solid"/>
        </a:ln>
      </c:spPr>
    </c:plotArea>
    <c:legend>
      <c:legendPos val="r"/>
      <c:layout>
        <c:manualLayout>
          <c:xMode val="edge"/>
          <c:yMode val="edge"/>
          <c:x val="0.61820203734432289"/>
          <c:y val="0.82218600274458664"/>
          <c:w val="0.31816020593579647"/>
          <c:h val="3.5889117052961494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07730204753843E-2"/>
          <c:y val="4.8328279506465073E-2"/>
          <c:w val="0.8867924528301887"/>
          <c:h val="0.8804359763028945"/>
        </c:manualLayout>
      </c:layout>
      <c:lineChart>
        <c:grouping val="standard"/>
        <c:varyColors val="0"/>
        <c:ser>
          <c:idx val="0"/>
          <c:order val="0"/>
          <c:tx>
            <c:v>Motor Vehicle Fuel Tax for Construction</c:v>
          </c:tx>
          <c:spPr>
            <a:ln w="38100">
              <a:solidFill>
                <a:schemeClr val="accent3"/>
              </a:solidFill>
            </a:ln>
          </c:spPr>
          <c:marker>
            <c:symbol val="none"/>
          </c:marker>
          <c:cat>
            <c:strRef>
              <c:f>DataForChart!$A$4:$A$47</c:f>
              <c:strCach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strCache>
            </c:strRef>
          </c:cat>
          <c:val>
            <c:numRef>
              <c:f>DataForChart!$B$4:$B$47</c:f>
              <c:numCache>
                <c:formatCode>_(* #,##0_);_(* \(#,##0\);_(* "-"_);_(@_)</c:formatCode>
                <c:ptCount val="44"/>
                <c:pt idx="0">
                  <c:v>0</c:v>
                </c:pt>
                <c:pt idx="1">
                  <c:v>0</c:v>
                </c:pt>
                <c:pt idx="2">
                  <c:v>0</c:v>
                </c:pt>
                <c:pt idx="3">
                  <c:v>0</c:v>
                </c:pt>
                <c:pt idx="4">
                  <c:v>30403.07</c:v>
                </c:pt>
                <c:pt idx="5">
                  <c:v>31345.26</c:v>
                </c:pt>
                <c:pt idx="6">
                  <c:v>32095.33</c:v>
                </c:pt>
                <c:pt idx="7">
                  <c:v>32088.44</c:v>
                </c:pt>
                <c:pt idx="8">
                  <c:v>32765.57</c:v>
                </c:pt>
                <c:pt idx="9">
                  <c:v>33619.81</c:v>
                </c:pt>
                <c:pt idx="10">
                  <c:v>33810.870000000003</c:v>
                </c:pt>
                <c:pt idx="11">
                  <c:v>34313.54</c:v>
                </c:pt>
                <c:pt idx="12">
                  <c:v>35310.720000000001</c:v>
                </c:pt>
                <c:pt idx="13">
                  <c:v>37420.370000000003</c:v>
                </c:pt>
                <c:pt idx="14">
                  <c:v>38282.11</c:v>
                </c:pt>
                <c:pt idx="15">
                  <c:v>37748.400000000001</c:v>
                </c:pt>
                <c:pt idx="16">
                  <c:v>36311.54</c:v>
                </c:pt>
                <c:pt idx="17">
                  <c:v>37779.620000000003</c:v>
                </c:pt>
                <c:pt idx="18">
                  <c:v>37719.4</c:v>
                </c:pt>
                <c:pt idx="19">
                  <c:v>37843.519999999997</c:v>
                </c:pt>
                <c:pt idx="20">
                  <c:v>38877.57</c:v>
                </c:pt>
                <c:pt idx="21">
                  <c:v>39062.81</c:v>
                </c:pt>
                <c:pt idx="22">
                  <c:v>39740.379999999997</c:v>
                </c:pt>
                <c:pt idx="23">
                  <c:v>40336.48569999999</c:v>
                </c:pt>
                <c:pt idx="24">
                  <c:v>40941.532985499987</c:v>
                </c:pt>
                <c:pt idx="25">
                  <c:v>41555.655980282485</c:v>
                </c:pt>
                <c:pt idx="26">
                  <c:v>42178.99081998672</c:v>
                </c:pt>
                <c:pt idx="27">
                  <c:v>42811.675682286514</c:v>
                </c:pt>
                <c:pt idx="28">
                  <c:v>43453.850817520804</c:v>
                </c:pt>
                <c:pt idx="29">
                  <c:v>44105.658579783609</c:v>
                </c:pt>
                <c:pt idx="30">
                  <c:v>44767.243458480356</c:v>
                </c:pt>
                <c:pt idx="31">
                  <c:v>45438.752110357556</c:v>
                </c:pt>
                <c:pt idx="32">
                  <c:v>46120.333392012915</c:v>
                </c:pt>
                <c:pt idx="33">
                  <c:v>46812.138392893103</c:v>
                </c:pt>
                <c:pt idx="34">
                  <c:v>47514.320468786493</c:v>
                </c:pt>
                <c:pt idx="35">
                  <c:v>48227.035275818285</c:v>
                </c:pt>
                <c:pt idx="36">
                  <c:v>48950.440804955557</c:v>
                </c:pt>
                <c:pt idx="37">
                  <c:v>49684.697417029885</c:v>
                </c:pt>
                <c:pt idx="38">
                  <c:v>50429.96787828533</c:v>
                </c:pt>
                <c:pt idx="39">
                  <c:v>51186.417396459605</c:v>
                </c:pt>
                <c:pt idx="40">
                  <c:v>51954.213657406493</c:v>
                </c:pt>
                <c:pt idx="41">
                  <c:v>52733.526862267587</c:v>
                </c:pt>
                <c:pt idx="42">
                  <c:v>53524.529765201594</c:v>
                </c:pt>
                <c:pt idx="43">
                  <c:v>54327.397711679616</c:v>
                </c:pt>
              </c:numCache>
            </c:numRef>
          </c:val>
          <c:smooth val="0"/>
        </c:ser>
        <c:dLbls>
          <c:showLegendKey val="0"/>
          <c:showVal val="0"/>
          <c:showCatName val="0"/>
          <c:showSerName val="0"/>
          <c:showPercent val="0"/>
          <c:showBubbleSize val="0"/>
        </c:dLbls>
        <c:marker val="1"/>
        <c:smooth val="0"/>
        <c:axId val="108350848"/>
        <c:axId val="108356736"/>
      </c:lineChart>
      <c:catAx>
        <c:axId val="108350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8356736"/>
        <c:crosses val="autoZero"/>
        <c:auto val="1"/>
        <c:lblAlgn val="ctr"/>
        <c:lblOffset val="100"/>
        <c:tickLblSkip val="3"/>
        <c:tickMarkSkip val="1"/>
        <c:noMultiLvlLbl val="0"/>
      </c:catAx>
      <c:valAx>
        <c:axId val="108356736"/>
        <c:scaling>
          <c:orientation val="minMax"/>
          <c:max val="60000"/>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8350848"/>
        <c:crosses val="autoZero"/>
        <c:crossBetween val="midCat"/>
        <c:majorUnit val="10000"/>
        <c:minorUnit val="1000"/>
      </c:valAx>
      <c:spPr>
        <a:solidFill>
          <a:srgbClr val="FFFFFF"/>
        </a:solidFill>
        <a:ln w="12700">
          <a:solidFill>
            <a:srgbClr val="808080"/>
          </a:solidFill>
          <a:prstDash val="solid"/>
        </a:ln>
      </c:spPr>
    </c:plotArea>
    <c:legend>
      <c:legendPos val="r"/>
      <c:layout>
        <c:manualLayout>
          <c:xMode val="edge"/>
          <c:yMode val="edge"/>
          <c:x val="0.59267477797132573"/>
          <c:y val="0.82055468112748164"/>
          <c:w val="0.29411762649972462"/>
          <c:h val="3.5888995244165889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840177580466"/>
          <c:y val="4.6810128202802309E-2"/>
          <c:w val="0.8446170921198668"/>
          <c:h val="0.8846743002553239"/>
        </c:manualLayout>
      </c:layout>
      <c:lineChart>
        <c:grouping val="standard"/>
        <c:varyColors val="0"/>
        <c:ser>
          <c:idx val="0"/>
          <c:order val="0"/>
          <c:tx>
            <c:v>State Grant Revenues</c:v>
          </c:tx>
          <c:spPr>
            <a:ln w="38100">
              <a:solidFill>
                <a:srgbClr val="99CC00"/>
              </a:solidFill>
              <a:prstDash val="solid"/>
            </a:ln>
          </c:spPr>
          <c:marker>
            <c:symbol val="none"/>
          </c:marker>
          <c:cat>
            <c:numRef>
              <c:f>GrantRevPerCapita!$A$10:$A$53</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GrantRevPerCapita!$D$10:$D$53</c:f>
              <c:numCache>
                <c:formatCode>_(* #,##0_);_(* \(#,##0\);_(* "-"_);_(@_)</c:formatCode>
                <c:ptCount val="44"/>
                <c:pt idx="0">
                  <c:v>516937</c:v>
                </c:pt>
                <c:pt idx="1">
                  <c:v>523436.94</c:v>
                </c:pt>
                <c:pt idx="2">
                  <c:v>257044.71</c:v>
                </c:pt>
                <c:pt idx="3">
                  <c:v>842904.19</c:v>
                </c:pt>
                <c:pt idx="4">
                  <c:v>1284101.8</c:v>
                </c:pt>
                <c:pt idx="5">
                  <c:v>1456572.13</c:v>
                </c:pt>
                <c:pt idx="6">
                  <c:v>68348.7</c:v>
                </c:pt>
                <c:pt idx="7">
                  <c:v>219475.71</c:v>
                </c:pt>
                <c:pt idx="8">
                  <c:v>1586900.78</c:v>
                </c:pt>
                <c:pt idx="9">
                  <c:v>163971.04999999999</c:v>
                </c:pt>
                <c:pt idx="10">
                  <c:v>159798.96</c:v>
                </c:pt>
                <c:pt idx="11">
                  <c:v>42792.75</c:v>
                </c:pt>
                <c:pt idx="12">
                  <c:v>11369.57</c:v>
                </c:pt>
                <c:pt idx="13">
                  <c:v>4071.56</c:v>
                </c:pt>
                <c:pt idx="14">
                  <c:v>83026.22</c:v>
                </c:pt>
                <c:pt idx="15">
                  <c:v>143624.9</c:v>
                </c:pt>
                <c:pt idx="16">
                  <c:v>71160.350000000006</c:v>
                </c:pt>
                <c:pt idx="17">
                  <c:v>454864.51</c:v>
                </c:pt>
                <c:pt idx="18">
                  <c:v>2046408.83</c:v>
                </c:pt>
                <c:pt idx="19">
                  <c:v>58298.77</c:v>
                </c:pt>
                <c:pt idx="20">
                  <c:v>1586332</c:v>
                </c:pt>
                <c:pt idx="21">
                  <c:v>461242</c:v>
                </c:pt>
                <c:pt idx="22">
                  <c:v>0</c:v>
                </c:pt>
                <c:pt idx="23">
                  <c:v>504470.39999999997</c:v>
                </c:pt>
                <c:pt idx="24">
                  <c:v>506053.00990719994</c:v>
                </c:pt>
                <c:pt idx="25">
                  <c:v>507598.49024649028</c:v>
                </c:pt>
                <c:pt idx="26">
                  <c:v>509105.40509503527</c:v>
                </c:pt>
                <c:pt idx="27">
                  <c:v>510583.49764593743</c:v>
                </c:pt>
                <c:pt idx="28">
                  <c:v>512020.00845809997</c:v>
                </c:pt>
                <c:pt idx="29">
                  <c:v>513419.03685631457</c:v>
                </c:pt>
                <c:pt idx="30">
                  <c:v>514784.57889315276</c:v>
                </c:pt>
                <c:pt idx="31">
                  <c:v>516103.80729337479</c:v>
                </c:pt>
                <c:pt idx="32">
                  <c:v>517380.67111464962</c:v>
                </c:pt>
                <c:pt idx="33">
                  <c:v>518635.8954033411</c:v>
                </c:pt>
                <c:pt idx="34">
                  <c:v>519828.49939888739</c:v>
                </c:pt>
                <c:pt idx="35">
                  <c:v>520984.75788774475</c:v>
                </c:pt>
                <c:pt idx="36">
                  <c:v>522091.63911846414</c:v>
                </c:pt>
                <c:pt idx="37">
                  <c:v>523147.28469860309</c:v>
                </c:pt>
                <c:pt idx="38">
                  <c:v>524166.60920725961</c:v>
                </c:pt>
                <c:pt idx="39">
                  <c:v>525130.89980196988</c:v>
                </c:pt>
                <c:pt idx="40">
                  <c:v>526043.73437348986</c:v>
                </c:pt>
                <c:pt idx="41">
                  <c:v>526897.46140301786</c:v>
                </c:pt>
                <c:pt idx="42">
                  <c:v>527701.19953446335</c:v>
                </c:pt>
                <c:pt idx="43">
                  <c:v>528449.98114049272</c:v>
                </c:pt>
              </c:numCache>
            </c:numRef>
          </c:val>
          <c:smooth val="0"/>
        </c:ser>
        <c:dLbls>
          <c:showLegendKey val="0"/>
          <c:showVal val="0"/>
          <c:showCatName val="0"/>
          <c:showSerName val="0"/>
          <c:showPercent val="0"/>
          <c:showBubbleSize val="0"/>
        </c:dLbls>
        <c:marker val="1"/>
        <c:smooth val="0"/>
        <c:axId val="107148800"/>
        <c:axId val="107150336"/>
      </c:lineChart>
      <c:catAx>
        <c:axId val="1071488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7150336"/>
        <c:crosses val="autoZero"/>
        <c:auto val="1"/>
        <c:lblAlgn val="ctr"/>
        <c:lblOffset val="100"/>
        <c:tickLblSkip val="3"/>
        <c:tickMarkSkip val="1"/>
        <c:noMultiLvlLbl val="0"/>
      </c:catAx>
      <c:valAx>
        <c:axId val="107150336"/>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7148800"/>
        <c:crosses val="autoZero"/>
        <c:crossBetween val="midCat"/>
      </c:valAx>
      <c:spPr>
        <a:solidFill>
          <a:srgbClr val="FFFFFF"/>
        </a:solidFill>
        <a:ln w="12700">
          <a:solidFill>
            <a:srgbClr val="808080"/>
          </a:solidFill>
          <a:prstDash val="solid"/>
        </a:ln>
      </c:spPr>
    </c:plotArea>
    <c:legend>
      <c:legendPos val="r"/>
      <c:layout>
        <c:manualLayout>
          <c:xMode val="edge"/>
          <c:yMode val="edge"/>
          <c:x val="0.62965085746744331"/>
          <c:y val="0.83741010691154583"/>
          <c:w val="0.20162274135158476"/>
          <c:h val="3.3715491990619524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1261861498081"/>
          <c:y val="2.7247463051075834E-2"/>
          <c:w val="0.87124335225665639"/>
          <c:h val="0.89988967569171763"/>
        </c:manualLayout>
      </c:layout>
      <c:lineChart>
        <c:grouping val="standard"/>
        <c:varyColors val="0"/>
        <c:ser>
          <c:idx val="0"/>
          <c:order val="0"/>
          <c:tx>
            <c:v>Federal Grant Revenues</c:v>
          </c:tx>
          <c:spPr>
            <a:ln w="38100">
              <a:solidFill>
                <a:srgbClr val="99CC00"/>
              </a:solidFill>
              <a:prstDash val="solid"/>
            </a:ln>
          </c:spPr>
          <c:marker>
            <c:symbol val="none"/>
          </c:marker>
          <c:cat>
            <c:numRef>
              <c:f>GrantRevPerCapita!$A$10:$A$53</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GrantRevPerCapita!$C$10:$C$53</c:f>
              <c:numCache>
                <c:formatCode>_(* #,##0_);_(* \(#,##0\);_(* "-"_);_(@_)</c:formatCode>
                <c:ptCount val="44"/>
                <c:pt idx="0">
                  <c:v>510167</c:v>
                </c:pt>
                <c:pt idx="1">
                  <c:v>2230681.9300000002</c:v>
                </c:pt>
                <c:pt idx="2">
                  <c:v>1878188.41</c:v>
                </c:pt>
                <c:pt idx="3">
                  <c:v>1433890.86</c:v>
                </c:pt>
                <c:pt idx="4">
                  <c:v>1013234.61</c:v>
                </c:pt>
                <c:pt idx="5">
                  <c:v>1815826.9</c:v>
                </c:pt>
                <c:pt idx="6">
                  <c:v>264184.71999999997</c:v>
                </c:pt>
                <c:pt idx="7">
                  <c:v>1875509.39</c:v>
                </c:pt>
                <c:pt idx="8">
                  <c:v>253156.61</c:v>
                </c:pt>
                <c:pt idx="9">
                  <c:v>1593427.63</c:v>
                </c:pt>
                <c:pt idx="10">
                  <c:v>379868.99</c:v>
                </c:pt>
                <c:pt idx="11">
                  <c:v>613501.14</c:v>
                </c:pt>
                <c:pt idx="12">
                  <c:v>2091107.67</c:v>
                </c:pt>
                <c:pt idx="13">
                  <c:v>3637522.11</c:v>
                </c:pt>
                <c:pt idx="14">
                  <c:v>1294348.6299999999</c:v>
                </c:pt>
                <c:pt idx="15">
                  <c:v>672887.64</c:v>
                </c:pt>
                <c:pt idx="16">
                  <c:v>5242465.42</c:v>
                </c:pt>
                <c:pt idx="17">
                  <c:v>4897290.97</c:v>
                </c:pt>
                <c:pt idx="18">
                  <c:v>992652.39</c:v>
                </c:pt>
                <c:pt idx="19">
                  <c:v>1026667.9</c:v>
                </c:pt>
                <c:pt idx="20">
                  <c:v>1561730</c:v>
                </c:pt>
                <c:pt idx="21">
                  <c:v>6872455</c:v>
                </c:pt>
                <c:pt idx="22">
                  <c:v>5595439</c:v>
                </c:pt>
                <c:pt idx="23">
                  <c:v>2348489.88</c:v>
                </c:pt>
                <c:pt idx="24">
                  <c:v>2355857.49433584</c:v>
                </c:pt>
                <c:pt idx="25">
                  <c:v>2363052.2572725005</c:v>
                </c:pt>
                <c:pt idx="26">
                  <c:v>2370067.4840763519</c:v>
                </c:pt>
                <c:pt idx="27">
                  <c:v>2376948.5327909985</c:v>
                </c:pt>
                <c:pt idx="28">
                  <c:v>2383636.0036611906</c:v>
                </c:pt>
                <c:pt idx="29">
                  <c:v>2390148.9805078791</c:v>
                </c:pt>
                <c:pt idx="30">
                  <c:v>2396506.0663829455</c:v>
                </c:pt>
                <c:pt idx="31">
                  <c:v>2402647.5457389788</c:v>
                </c:pt>
                <c:pt idx="32">
                  <c:v>2408591.8028498068</c:v>
                </c:pt>
                <c:pt idx="33">
                  <c:v>2414435.320208054</c:v>
                </c:pt>
                <c:pt idx="34">
                  <c:v>2419987.3177373204</c:v>
                </c:pt>
                <c:pt idx="35">
                  <c:v>2425370.1139524118</c:v>
                </c:pt>
                <c:pt idx="36">
                  <c:v>2430523.0413961359</c:v>
                </c:pt>
                <c:pt idx="37">
                  <c:v>2435437.4485879615</c:v>
                </c:pt>
                <c:pt idx="38">
                  <c:v>2440182.7682202249</c:v>
                </c:pt>
                <c:pt idx="39">
                  <c:v>2444671.8853280996</c:v>
                </c:pt>
                <c:pt idx="40">
                  <c:v>2448921.4562708717</c:v>
                </c:pt>
                <c:pt idx="41">
                  <c:v>2452895.8604958351</c:v>
                </c:pt>
                <c:pt idx="42">
                  <c:v>2456637.5485470467</c:v>
                </c:pt>
                <c:pt idx="43">
                  <c:v>2460123.3943451149</c:v>
                </c:pt>
              </c:numCache>
            </c:numRef>
          </c:val>
          <c:smooth val="0"/>
        </c:ser>
        <c:dLbls>
          <c:showLegendKey val="0"/>
          <c:showVal val="0"/>
          <c:showCatName val="0"/>
          <c:showSerName val="0"/>
          <c:showPercent val="0"/>
          <c:showBubbleSize val="0"/>
        </c:dLbls>
        <c:marker val="1"/>
        <c:smooth val="0"/>
        <c:axId val="8888320"/>
        <c:axId val="8889856"/>
      </c:lineChart>
      <c:catAx>
        <c:axId val="88883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8889856"/>
        <c:crosses val="autoZero"/>
        <c:auto val="1"/>
        <c:lblAlgn val="ctr"/>
        <c:lblOffset val="100"/>
        <c:tickLblSkip val="3"/>
        <c:tickMarkSkip val="1"/>
        <c:noMultiLvlLbl val="0"/>
      </c:catAx>
      <c:valAx>
        <c:axId val="8889856"/>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8888320"/>
        <c:crosses val="autoZero"/>
        <c:crossBetween val="midCat"/>
      </c:valAx>
      <c:spPr>
        <a:solidFill>
          <a:srgbClr val="FFFFFF"/>
        </a:solidFill>
        <a:ln w="12700">
          <a:solidFill>
            <a:srgbClr val="808080"/>
          </a:solidFill>
          <a:prstDash val="solid"/>
        </a:ln>
      </c:spPr>
    </c:plotArea>
    <c:legend>
      <c:legendPos val="r"/>
      <c:layout>
        <c:manualLayout>
          <c:xMode val="edge"/>
          <c:yMode val="edge"/>
          <c:x val="0.61820188125762854"/>
          <c:y val="0.82218597063621535"/>
          <c:w val="0.19422875137278206"/>
          <c:h val="3.5888898879483433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840177580466"/>
          <c:y val="4.6810128202802309E-2"/>
          <c:w val="0.82019977802441735"/>
          <c:h val="0.8846743002553239"/>
        </c:manualLayout>
      </c:layout>
      <c:lineChart>
        <c:grouping val="standard"/>
        <c:varyColors val="0"/>
        <c:ser>
          <c:idx val="0"/>
          <c:order val="0"/>
          <c:tx>
            <c:v>REET I &amp; II Revenues</c:v>
          </c:tx>
          <c:spPr>
            <a:ln w="38100">
              <a:solidFill>
                <a:srgbClr val="99CC00"/>
              </a:solidFill>
              <a:prstDash val="solid"/>
            </a:ln>
          </c:spPr>
          <c:marker>
            <c:symbol val="none"/>
          </c:marker>
          <c:cat>
            <c:numRef>
              <c:f>RelationtoAssessedValue!$A$11:$A$54</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RelationtoAssessedValue!$F$11:$F$54</c:f>
              <c:numCache>
                <c:formatCode>_(* #,##0_);_(* \(#,##0\);_(* "-"_);_(@_)</c:formatCode>
                <c:ptCount val="44"/>
                <c:pt idx="0">
                  <c:v>855346.44</c:v>
                </c:pt>
                <c:pt idx="1">
                  <c:v>720168.33</c:v>
                </c:pt>
                <c:pt idx="2">
                  <c:v>781561.27</c:v>
                </c:pt>
                <c:pt idx="3">
                  <c:v>661310.31000000006</c:v>
                </c:pt>
                <c:pt idx="4">
                  <c:v>1023353.62</c:v>
                </c:pt>
                <c:pt idx="5">
                  <c:v>815475.06</c:v>
                </c:pt>
                <c:pt idx="6">
                  <c:v>889737.61</c:v>
                </c:pt>
                <c:pt idx="7">
                  <c:v>882704.07</c:v>
                </c:pt>
                <c:pt idx="8">
                  <c:v>1021601.97</c:v>
                </c:pt>
                <c:pt idx="9">
                  <c:v>1192147.3999999999</c:v>
                </c:pt>
                <c:pt idx="10">
                  <c:v>1450996.43</c:v>
                </c:pt>
                <c:pt idx="11">
                  <c:v>3431167.52</c:v>
                </c:pt>
                <c:pt idx="12">
                  <c:v>4744362.28</c:v>
                </c:pt>
                <c:pt idx="13">
                  <c:v>4550984.1399999997</c:v>
                </c:pt>
                <c:pt idx="14">
                  <c:v>4407117.04</c:v>
                </c:pt>
                <c:pt idx="15">
                  <c:v>3088001.54</c:v>
                </c:pt>
                <c:pt idx="16">
                  <c:v>2126978.73</c:v>
                </c:pt>
                <c:pt idx="17">
                  <c:v>1981782.74</c:v>
                </c:pt>
                <c:pt idx="18">
                  <c:v>2085566.76</c:v>
                </c:pt>
                <c:pt idx="19">
                  <c:v>2541845.2200000002</c:v>
                </c:pt>
                <c:pt idx="20">
                  <c:v>2846654.94</c:v>
                </c:pt>
                <c:pt idx="21">
                  <c:v>3745545.74</c:v>
                </c:pt>
                <c:pt idx="22">
                  <c:v>3371699</c:v>
                </c:pt>
                <c:pt idx="23">
                  <c:v>3662037.3828000003</c:v>
                </c:pt>
                <c:pt idx="24">
                  <c:v>4001420.7787775001</c:v>
                </c:pt>
                <c:pt idx="25">
                  <c:v>4346067.8076900011</c:v>
                </c:pt>
                <c:pt idx="26">
                  <c:v>4382913.2382350015</c:v>
                </c:pt>
                <c:pt idx="27">
                  <c:v>4419758.6687800018</c:v>
                </c:pt>
                <c:pt idx="28">
                  <c:v>4456604.0993250022</c:v>
                </c:pt>
                <c:pt idx="29">
                  <c:v>4493449.5298700025</c:v>
                </c:pt>
                <c:pt idx="30">
                  <c:v>4530294.9604150029</c:v>
                </c:pt>
                <c:pt idx="31">
                  <c:v>4567140.3909600023</c:v>
                </c:pt>
                <c:pt idx="32">
                  <c:v>4603985.8215050027</c:v>
                </c:pt>
                <c:pt idx="33">
                  <c:v>4640831.252050003</c:v>
                </c:pt>
                <c:pt idx="34">
                  <c:v>4677676.6825950034</c:v>
                </c:pt>
                <c:pt idx="35">
                  <c:v>4714522.1131400028</c:v>
                </c:pt>
                <c:pt idx="36">
                  <c:v>4751367.5436850041</c:v>
                </c:pt>
                <c:pt idx="37">
                  <c:v>4788212.9742300045</c:v>
                </c:pt>
                <c:pt idx="38">
                  <c:v>4825058.4047750048</c:v>
                </c:pt>
                <c:pt idx="39">
                  <c:v>4861903.8353200052</c:v>
                </c:pt>
                <c:pt idx="40">
                  <c:v>4898749.2658650056</c:v>
                </c:pt>
                <c:pt idx="41">
                  <c:v>4935594.6964100059</c:v>
                </c:pt>
                <c:pt idx="42">
                  <c:v>4972440.1269550053</c:v>
                </c:pt>
                <c:pt idx="43">
                  <c:v>5009285.5575000057</c:v>
                </c:pt>
              </c:numCache>
            </c:numRef>
          </c:val>
          <c:smooth val="0"/>
        </c:ser>
        <c:dLbls>
          <c:showLegendKey val="0"/>
          <c:showVal val="0"/>
          <c:showCatName val="0"/>
          <c:showSerName val="0"/>
          <c:showPercent val="0"/>
          <c:showBubbleSize val="0"/>
        </c:dLbls>
        <c:marker val="1"/>
        <c:smooth val="0"/>
        <c:axId val="109091072"/>
        <c:axId val="109092864"/>
      </c:lineChart>
      <c:catAx>
        <c:axId val="1090910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9092864"/>
        <c:crosses val="autoZero"/>
        <c:auto val="1"/>
        <c:lblAlgn val="ctr"/>
        <c:lblOffset val="100"/>
        <c:tickLblSkip val="3"/>
        <c:tickMarkSkip val="1"/>
        <c:noMultiLvlLbl val="0"/>
      </c:catAx>
      <c:valAx>
        <c:axId val="109092864"/>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9091072"/>
        <c:crosses val="autoZero"/>
        <c:crossBetween val="midCat"/>
      </c:valAx>
      <c:spPr>
        <a:solidFill>
          <a:srgbClr val="FFFFFF"/>
        </a:solidFill>
        <a:ln w="12700">
          <a:solidFill>
            <a:srgbClr val="808080"/>
          </a:solidFill>
          <a:prstDash val="solid"/>
        </a:ln>
      </c:spPr>
    </c:plotArea>
    <c:legend>
      <c:legendPos val="r"/>
      <c:layout>
        <c:manualLayout>
          <c:xMode val="edge"/>
          <c:yMode val="edge"/>
          <c:x val="0.62597114317425084"/>
          <c:y val="0.70962479608482876"/>
          <c:w val="0.17758046614872369"/>
          <c:h val="3.5889070146818969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71777082229551"/>
          <c:y val="4.2462878078118375E-2"/>
          <c:w val="0.83684794672586016"/>
          <c:h val="0.8759798000059561"/>
        </c:manualLayout>
      </c:layout>
      <c:lineChart>
        <c:grouping val="standard"/>
        <c:varyColors val="0"/>
        <c:ser>
          <c:idx val="1"/>
          <c:order val="0"/>
          <c:tx>
            <c:v>Rural Counties Public Facilities Sales Tax</c:v>
          </c:tx>
          <c:spPr>
            <a:ln w="38100">
              <a:solidFill>
                <a:schemeClr val="accent3"/>
              </a:solidFill>
            </a:ln>
          </c:spPr>
          <c:marker>
            <c:symbol val="none"/>
          </c:marker>
          <c:cat>
            <c:numRef>
              <c:f>RuralSalesChartData!$A$5:$A$48</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RuralSalesChartData!$B$5:$B$48</c:f>
              <c:numCache>
                <c:formatCode>_(* #,##0_);_(* \(#,##0\);_(* "-"_);_(@_)</c:formatCode>
                <c:ptCount val="44"/>
                <c:pt idx="0">
                  <c:v>0</c:v>
                </c:pt>
                <c:pt idx="1">
                  <c:v>0</c:v>
                </c:pt>
                <c:pt idx="2">
                  <c:v>0</c:v>
                </c:pt>
                <c:pt idx="3">
                  <c:v>0</c:v>
                </c:pt>
                <c:pt idx="4">
                  <c:v>0</c:v>
                </c:pt>
                <c:pt idx="5">
                  <c:v>0</c:v>
                </c:pt>
                <c:pt idx="6">
                  <c:v>69138.698999999993</c:v>
                </c:pt>
                <c:pt idx="7">
                  <c:v>493717.93799999997</c:v>
                </c:pt>
                <c:pt idx="8">
                  <c:v>544324.25099999993</c:v>
                </c:pt>
                <c:pt idx="9">
                  <c:v>564337.86300000001</c:v>
                </c:pt>
                <c:pt idx="10">
                  <c:v>616797.80699999991</c:v>
                </c:pt>
                <c:pt idx="11">
                  <c:v>657626.48100000003</c:v>
                </c:pt>
                <c:pt idx="12">
                  <c:v>714251.67599999998</c:v>
                </c:pt>
                <c:pt idx="13">
                  <c:v>801846.04800000007</c:v>
                </c:pt>
                <c:pt idx="14">
                  <c:v>848787</c:v>
                </c:pt>
                <c:pt idx="15">
                  <c:v>929214.96899999992</c:v>
                </c:pt>
                <c:pt idx="16">
                  <c:v>831486.25199999998</c:v>
                </c:pt>
                <c:pt idx="17">
                  <c:v>830646.40500000003</c:v>
                </c:pt>
                <c:pt idx="18">
                  <c:v>860280.69900000002</c:v>
                </c:pt>
                <c:pt idx="19">
                  <c:v>914592.04499999993</c:v>
                </c:pt>
                <c:pt idx="20">
                  <c:v>974246</c:v>
                </c:pt>
                <c:pt idx="21">
                  <c:v>997644</c:v>
                </c:pt>
                <c:pt idx="22">
                  <c:v>1045212</c:v>
                </c:pt>
                <c:pt idx="23">
                  <c:v>1079703.9959999998</c:v>
                </c:pt>
                <c:pt idx="24">
                  <c:v>1115334.2278679998</c:v>
                </c:pt>
                <c:pt idx="25">
                  <c:v>1152140.2573876437</c:v>
                </c:pt>
                <c:pt idx="26">
                  <c:v>1190160.8858814358</c:v>
                </c:pt>
                <c:pt idx="27">
                  <c:v>1229436.1951155232</c:v>
                </c:pt>
                <c:pt idx="28">
                  <c:v>1270007.5895543355</c:v>
                </c:pt>
                <c:pt idx="29">
                  <c:v>1311917.8400096283</c:v>
                </c:pt>
                <c:pt idx="30">
                  <c:v>1355211.128729946</c:v>
                </c:pt>
                <c:pt idx="31">
                  <c:v>1399933.0959780342</c:v>
                </c:pt>
                <c:pt idx="32">
                  <c:v>1446130.8881453092</c:v>
                </c:pt>
                <c:pt idx="33">
                  <c:v>1493853.2074541042</c:v>
                </c:pt>
                <c:pt idx="34">
                  <c:v>1543150.3633000895</c:v>
                </c:pt>
                <c:pt idx="35">
                  <c:v>1594074.3252889924</c:v>
                </c:pt>
                <c:pt idx="36">
                  <c:v>1646678.7780235291</c:v>
                </c:pt>
                <c:pt idx="37">
                  <c:v>1701019.1776983053</c:v>
                </c:pt>
                <c:pt idx="38">
                  <c:v>1757152.8105623494</c:v>
                </c:pt>
                <c:pt idx="39">
                  <c:v>1058830.9977646957</c:v>
                </c:pt>
                <c:pt idx="40">
                  <c:v>0</c:v>
                </c:pt>
                <c:pt idx="41">
                  <c:v>0</c:v>
                </c:pt>
                <c:pt idx="42">
                  <c:v>0</c:v>
                </c:pt>
                <c:pt idx="43">
                  <c:v>0</c:v>
                </c:pt>
              </c:numCache>
            </c:numRef>
          </c:val>
          <c:smooth val="0"/>
        </c:ser>
        <c:dLbls>
          <c:showLegendKey val="0"/>
          <c:showVal val="0"/>
          <c:showCatName val="0"/>
          <c:showSerName val="0"/>
          <c:showPercent val="0"/>
          <c:showBubbleSize val="0"/>
        </c:dLbls>
        <c:marker val="1"/>
        <c:smooth val="0"/>
        <c:axId val="109147648"/>
        <c:axId val="109149184"/>
      </c:lineChart>
      <c:catAx>
        <c:axId val="1091476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9149184"/>
        <c:crosses val="autoZero"/>
        <c:auto val="1"/>
        <c:lblAlgn val="ctr"/>
        <c:lblOffset val="100"/>
        <c:tickLblSkip val="3"/>
        <c:tickMarkSkip val="1"/>
        <c:noMultiLvlLbl val="0"/>
      </c:catAx>
      <c:valAx>
        <c:axId val="109149184"/>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09147648"/>
        <c:crosses val="autoZero"/>
        <c:crossBetween val="midCat"/>
        <c:majorUnit val="250000"/>
      </c:valAx>
      <c:spPr>
        <a:solidFill>
          <a:srgbClr val="FFFFFF"/>
        </a:solidFill>
        <a:ln w="12700">
          <a:solidFill>
            <a:srgbClr val="808080"/>
          </a:solidFill>
          <a:prstDash val="solid"/>
        </a:ln>
      </c:spPr>
    </c:plotArea>
    <c:legend>
      <c:legendPos val="r"/>
      <c:layout>
        <c:manualLayout>
          <c:xMode val="edge"/>
          <c:yMode val="edge"/>
          <c:x val="0.56306368646462845"/>
          <c:y val="0.72702709363737161"/>
          <c:w val="0.29497912190375808"/>
          <c:h val="5.0744389565641201E-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9509685097452"/>
          <c:y val="4.6810128202802302E-2"/>
          <c:w val="0.83684794672586016"/>
          <c:h val="0.89336880050469181"/>
        </c:manualLayout>
      </c:layout>
      <c:lineChart>
        <c:grouping val="standard"/>
        <c:varyColors val="0"/>
        <c:ser>
          <c:idx val="0"/>
          <c:order val="0"/>
          <c:tx>
            <c:v>Conservation Futures Rev for Parks</c:v>
          </c:tx>
          <c:spPr>
            <a:ln w="38100">
              <a:solidFill>
                <a:srgbClr val="99CC00"/>
              </a:solidFill>
              <a:prstDash val="solid"/>
            </a:ln>
          </c:spPr>
          <c:marker>
            <c:symbol val="none"/>
          </c:marker>
          <c:cat>
            <c:numRef>
              <c:f>'Data for Chart'!$A$5:$A$48</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'Data for Chart'!$B$5:$B$48</c:f>
              <c:numCache>
                <c:formatCode>_(* #,##0_);_(* \(#,##0\);_(* "-"_);_(@_)</c:formatCode>
                <c:ptCount val="44"/>
                <c:pt idx="0">
                  <c:v>1159335</c:v>
                </c:pt>
                <c:pt idx="1">
                  <c:v>0</c:v>
                </c:pt>
                <c:pt idx="2">
                  <c:v>300573</c:v>
                </c:pt>
                <c:pt idx="3">
                  <c:v>104000</c:v>
                </c:pt>
                <c:pt idx="4">
                  <c:v>0</c:v>
                </c:pt>
                <c:pt idx="5">
                  <c:v>1630513</c:v>
                </c:pt>
                <c:pt idx="6">
                  <c:v>2450</c:v>
                </c:pt>
                <c:pt idx="7">
                  <c:v>1255150.25</c:v>
                </c:pt>
                <c:pt idx="8">
                  <c:v>100171</c:v>
                </c:pt>
                <c:pt idx="9">
                  <c:v>458978</c:v>
                </c:pt>
                <c:pt idx="10">
                  <c:v>0</c:v>
                </c:pt>
                <c:pt idx="11">
                  <c:v>492465</c:v>
                </c:pt>
                <c:pt idx="12">
                  <c:v>678467</c:v>
                </c:pt>
                <c:pt idx="13">
                  <c:v>10000</c:v>
                </c:pt>
                <c:pt idx="14">
                  <c:v>517693.6</c:v>
                </c:pt>
                <c:pt idx="15">
                  <c:v>983480</c:v>
                </c:pt>
                <c:pt idx="16">
                  <c:v>0</c:v>
                </c:pt>
                <c:pt idx="17">
                  <c:v>1496731</c:v>
                </c:pt>
                <c:pt idx="18">
                  <c:v>0</c:v>
                </c:pt>
                <c:pt idx="19">
                  <c:v>0</c:v>
                </c:pt>
                <c:pt idx="20">
                  <c:v>228000</c:v>
                </c:pt>
                <c:pt idx="21">
                  <c:v>3016673.2199999997</c:v>
                </c:pt>
                <c:pt idx="22">
                  <c:v>0</c:v>
                </c:pt>
                <c:pt idx="23">
                  <c:v>452677</c:v>
                </c:pt>
                <c:pt idx="24">
                  <c:v>54204</c:v>
                </c:pt>
                <c:pt idx="25">
                  <c:v>55776</c:v>
                </c:pt>
                <c:pt idx="26">
                  <c:v>57394</c:v>
                </c:pt>
                <c:pt idx="27">
                  <c:v>59058</c:v>
                </c:pt>
                <c:pt idx="28">
                  <c:v>60771</c:v>
                </c:pt>
                <c:pt idx="29">
                  <c:v>62533</c:v>
                </c:pt>
                <c:pt idx="30">
                  <c:v>64347</c:v>
                </c:pt>
                <c:pt idx="31">
                  <c:v>66213</c:v>
                </c:pt>
                <c:pt idx="32">
                  <c:v>68133</c:v>
                </c:pt>
                <c:pt idx="33">
                  <c:v>70109</c:v>
                </c:pt>
                <c:pt idx="34">
                  <c:v>72142</c:v>
                </c:pt>
                <c:pt idx="35">
                  <c:v>74234</c:v>
                </c:pt>
                <c:pt idx="36">
                  <c:v>76387</c:v>
                </c:pt>
                <c:pt idx="37">
                  <c:v>78602</c:v>
                </c:pt>
                <c:pt idx="38">
                  <c:v>80881</c:v>
                </c:pt>
                <c:pt idx="39">
                  <c:v>83227</c:v>
                </c:pt>
                <c:pt idx="40">
                  <c:v>85640</c:v>
                </c:pt>
                <c:pt idx="41">
                  <c:v>88124</c:v>
                </c:pt>
                <c:pt idx="42">
                  <c:v>90680</c:v>
                </c:pt>
                <c:pt idx="43">
                  <c:v>93309</c:v>
                </c:pt>
              </c:numCache>
            </c:numRef>
          </c:val>
          <c:smooth val="0"/>
        </c:ser>
        <c:dLbls>
          <c:showLegendKey val="0"/>
          <c:showVal val="0"/>
          <c:showCatName val="0"/>
          <c:showSerName val="0"/>
          <c:showPercent val="0"/>
          <c:showBubbleSize val="0"/>
        </c:dLbls>
        <c:marker val="1"/>
        <c:smooth val="0"/>
        <c:axId val="113652096"/>
        <c:axId val="113653632"/>
      </c:lineChart>
      <c:catAx>
        <c:axId val="113652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3653632"/>
        <c:crosses val="autoZero"/>
        <c:auto val="1"/>
        <c:lblAlgn val="ctr"/>
        <c:lblOffset val="100"/>
        <c:tickLblSkip val="3"/>
        <c:tickMarkSkip val="1"/>
        <c:noMultiLvlLbl val="0"/>
      </c:catAx>
      <c:valAx>
        <c:axId val="113653632"/>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3652096"/>
        <c:crosses val="autoZero"/>
        <c:crossBetween val="midCat"/>
      </c:valAx>
      <c:spPr>
        <a:solidFill>
          <a:srgbClr val="FFFFFF"/>
        </a:solidFill>
        <a:ln w="12700">
          <a:solidFill>
            <a:srgbClr val="808080"/>
          </a:solidFill>
          <a:prstDash val="solid"/>
        </a:ln>
      </c:spPr>
    </c:plotArea>
    <c:legend>
      <c:legendPos val="r"/>
      <c:layout>
        <c:manualLayout>
          <c:xMode val="edge"/>
          <c:yMode val="edge"/>
          <c:x val="0.60224271078212899"/>
          <c:y val="0.59665754668105309"/>
          <c:w val="0.31194770465012633"/>
          <c:h val="6.9693474286350421E-2"/>
        </c:manualLayout>
      </c:layout>
      <c:overlay val="0"/>
      <c:spPr>
        <a:ln>
          <a:solidFill>
            <a:srgbClr val="808080"/>
          </a:solidFill>
        </a:ln>
      </c:sp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3840177580466"/>
          <c:y val="3.3768377828750529E-2"/>
          <c:w val="0.8446170921198668"/>
          <c:h val="0.89771605062937565"/>
        </c:manualLayout>
      </c:layout>
      <c:lineChart>
        <c:grouping val="standard"/>
        <c:varyColors val="0"/>
        <c:ser>
          <c:idx val="0"/>
          <c:order val="0"/>
          <c:tx>
            <c:v>State Grant Revenues</c:v>
          </c:tx>
          <c:spPr>
            <a:ln w="38100">
              <a:solidFill>
                <a:srgbClr val="99CC00"/>
              </a:solidFill>
              <a:prstDash val="solid"/>
            </a:ln>
          </c:spPr>
          <c:marker>
            <c:symbol val="none"/>
          </c:marker>
          <c:cat>
            <c:numRef>
              <c:f>GrantRevPerCapita!$A$7:$A$50</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GrantRevPerCapita!$C$7:$C$50</c:f>
              <c:numCache>
                <c:formatCode>_(* #,##0_);_(* \(#,##0\);_(* "-"_);_(@_)</c:formatCode>
                <c:ptCount val="44"/>
                <c:pt idx="0">
                  <c:v>47430</c:v>
                </c:pt>
                <c:pt idx="1">
                  <c:v>0</c:v>
                </c:pt>
                <c:pt idx="2">
                  <c:v>0</c:v>
                </c:pt>
                <c:pt idx="3">
                  <c:v>0</c:v>
                </c:pt>
                <c:pt idx="4">
                  <c:v>0</c:v>
                </c:pt>
                <c:pt idx="5">
                  <c:v>113660</c:v>
                </c:pt>
                <c:pt idx="6">
                  <c:v>0</c:v>
                </c:pt>
                <c:pt idx="7">
                  <c:v>0</c:v>
                </c:pt>
                <c:pt idx="8">
                  <c:v>26363</c:v>
                </c:pt>
                <c:pt idx="9">
                  <c:v>0</c:v>
                </c:pt>
                <c:pt idx="10">
                  <c:v>0</c:v>
                </c:pt>
                <c:pt idx="11">
                  <c:v>50000</c:v>
                </c:pt>
                <c:pt idx="12">
                  <c:v>49000</c:v>
                </c:pt>
                <c:pt idx="13">
                  <c:v>52290</c:v>
                </c:pt>
                <c:pt idx="14">
                  <c:v>3115.68</c:v>
                </c:pt>
                <c:pt idx="15">
                  <c:v>50000</c:v>
                </c:pt>
                <c:pt idx="16">
                  <c:v>21000</c:v>
                </c:pt>
                <c:pt idx="17">
                  <c:v>0</c:v>
                </c:pt>
                <c:pt idx="18">
                  <c:v>0</c:v>
                </c:pt>
                <c:pt idx="19">
                  <c:v>64801.119999999995</c:v>
                </c:pt>
                <c:pt idx="20">
                  <c:v>41398.99</c:v>
                </c:pt>
                <c:pt idx="21">
                  <c:v>74366.25</c:v>
                </c:pt>
                <c:pt idx="22">
                  <c:v>64612.17</c:v>
                </c:pt>
                <c:pt idx="23">
                  <c:v>34034</c:v>
                </c:pt>
                <c:pt idx="24">
                  <c:v>34509</c:v>
                </c:pt>
                <c:pt idx="25">
                  <c:v>34990</c:v>
                </c:pt>
                <c:pt idx="26">
                  <c:v>35478</c:v>
                </c:pt>
                <c:pt idx="27">
                  <c:v>35972</c:v>
                </c:pt>
                <c:pt idx="28">
                  <c:v>36474</c:v>
                </c:pt>
                <c:pt idx="29">
                  <c:v>36983</c:v>
                </c:pt>
                <c:pt idx="30">
                  <c:v>37498</c:v>
                </c:pt>
                <c:pt idx="31">
                  <c:v>38021</c:v>
                </c:pt>
                <c:pt idx="32">
                  <c:v>38551</c:v>
                </c:pt>
                <c:pt idx="33">
                  <c:v>39088</c:v>
                </c:pt>
                <c:pt idx="34">
                  <c:v>39633</c:v>
                </c:pt>
                <c:pt idx="35">
                  <c:v>40186</c:v>
                </c:pt>
                <c:pt idx="36">
                  <c:v>40746</c:v>
                </c:pt>
                <c:pt idx="37">
                  <c:v>41314</c:v>
                </c:pt>
                <c:pt idx="38">
                  <c:v>41890</c:v>
                </c:pt>
                <c:pt idx="39">
                  <c:v>42474</c:v>
                </c:pt>
                <c:pt idx="40">
                  <c:v>43067</c:v>
                </c:pt>
                <c:pt idx="41">
                  <c:v>43667</c:v>
                </c:pt>
                <c:pt idx="42">
                  <c:v>44276</c:v>
                </c:pt>
                <c:pt idx="43">
                  <c:v>44893</c:v>
                </c:pt>
              </c:numCache>
            </c:numRef>
          </c:val>
          <c:smooth val="0"/>
        </c:ser>
        <c:dLbls>
          <c:showLegendKey val="0"/>
          <c:showVal val="0"/>
          <c:showCatName val="0"/>
          <c:showSerName val="0"/>
          <c:showPercent val="0"/>
          <c:showBubbleSize val="0"/>
        </c:dLbls>
        <c:marker val="1"/>
        <c:smooth val="0"/>
        <c:axId val="111790336"/>
        <c:axId val="111796224"/>
      </c:lineChart>
      <c:catAx>
        <c:axId val="1117903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796224"/>
        <c:crosses val="autoZero"/>
        <c:auto val="1"/>
        <c:lblAlgn val="ctr"/>
        <c:lblOffset val="100"/>
        <c:tickLblSkip val="3"/>
        <c:tickMarkSkip val="1"/>
        <c:noMultiLvlLbl val="0"/>
      </c:catAx>
      <c:valAx>
        <c:axId val="111796224"/>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790336"/>
        <c:crosses val="autoZero"/>
        <c:crossBetween val="midCat"/>
      </c:valAx>
      <c:spPr>
        <a:solidFill>
          <a:srgbClr val="FFFFFF"/>
        </a:solidFill>
        <a:ln w="12700">
          <a:solidFill>
            <a:srgbClr val="808080"/>
          </a:solidFill>
          <a:prstDash val="solid"/>
        </a:ln>
      </c:spPr>
    </c:plotArea>
    <c:legend>
      <c:legendPos val="r"/>
      <c:layout>
        <c:manualLayout>
          <c:xMode val="edge"/>
          <c:yMode val="edge"/>
          <c:x val="0.54827968923418424"/>
          <c:y val="0.83523654159869498"/>
          <c:w val="0.18091009988901219"/>
          <c:h val="3.5889070146818969E-2"/>
        </c:manualLayout>
      </c:layout>
      <c:overlay val="0"/>
      <c:spPr>
        <a:solidFill>
          <a:srgbClr val="FFFFFF"/>
        </a:solidFill>
        <a:ln w="3175">
          <a:solidFill>
            <a:srgbClr val="000000"/>
          </a:solidFill>
          <a:prstDash val="solid"/>
        </a:ln>
      </c:spPr>
      <c:txPr>
        <a:bodyPr/>
        <a:lstStyle/>
        <a:p>
          <a:pPr>
            <a:defRPr sz="775"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1261861498081"/>
          <c:y val="2.0982132373933558E-2"/>
          <c:w val="0.8446170921198668"/>
          <c:h val="0.90423692581640158"/>
        </c:manualLayout>
      </c:layout>
      <c:lineChart>
        <c:grouping val="standard"/>
        <c:varyColors val="0"/>
        <c:ser>
          <c:idx val="0"/>
          <c:order val="0"/>
          <c:tx>
            <c:v>State Grant Revenues</c:v>
          </c:tx>
          <c:spPr>
            <a:ln w="38100">
              <a:solidFill>
                <a:srgbClr val="99CC00"/>
              </a:solidFill>
              <a:prstDash val="solid"/>
            </a:ln>
          </c:spPr>
          <c:marker>
            <c:symbol val="none"/>
          </c:marker>
          <c:cat>
            <c:numRef>
              <c:f>GrantRevPerCapita!$A$9:$A$52</c:f>
              <c:numCache>
                <c:formatCode>General</c:formatCode>
                <c:ptCount val="44"/>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pt idx="25">
                  <c:v>2018</c:v>
                </c:pt>
                <c:pt idx="26">
                  <c:v>2019</c:v>
                </c:pt>
                <c:pt idx="27">
                  <c:v>2020</c:v>
                </c:pt>
                <c:pt idx="28">
                  <c:v>2021</c:v>
                </c:pt>
                <c:pt idx="29">
                  <c:v>2022</c:v>
                </c:pt>
                <c:pt idx="30">
                  <c:v>2023</c:v>
                </c:pt>
                <c:pt idx="31">
                  <c:v>2024</c:v>
                </c:pt>
                <c:pt idx="32">
                  <c:v>2025</c:v>
                </c:pt>
                <c:pt idx="33">
                  <c:v>2026</c:v>
                </c:pt>
                <c:pt idx="34">
                  <c:v>2027</c:v>
                </c:pt>
                <c:pt idx="35">
                  <c:v>2028</c:v>
                </c:pt>
                <c:pt idx="36">
                  <c:v>2029</c:v>
                </c:pt>
                <c:pt idx="37">
                  <c:v>2030</c:v>
                </c:pt>
                <c:pt idx="38">
                  <c:v>2031</c:v>
                </c:pt>
                <c:pt idx="39">
                  <c:v>2032</c:v>
                </c:pt>
                <c:pt idx="40">
                  <c:v>2033</c:v>
                </c:pt>
                <c:pt idx="41">
                  <c:v>2034</c:v>
                </c:pt>
                <c:pt idx="42">
                  <c:v>2035</c:v>
                </c:pt>
                <c:pt idx="43">
                  <c:v>2036</c:v>
                </c:pt>
              </c:numCache>
            </c:numRef>
          </c:cat>
          <c:val>
            <c:numRef>
              <c:f>GrantRevPerCapita!$D$9:$D$52</c:f>
              <c:numCache>
                <c:formatCode>_(* #,##0_);_(* \(#,##0\);_(* "-"_);_(@_)</c:formatCode>
                <c:ptCount val="4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116489</c:v>
                </c:pt>
                <c:pt idx="18">
                  <c:v>2805</c:v>
                </c:pt>
                <c:pt idx="19">
                  <c:v>248890</c:v>
                </c:pt>
                <c:pt idx="20">
                  <c:v>488768</c:v>
                </c:pt>
                <c:pt idx="21">
                  <c:v>1107</c:v>
                </c:pt>
                <c:pt idx="22">
                  <c:v>1124298</c:v>
                </c:pt>
                <c:pt idx="23">
                  <c:v>270252</c:v>
                </c:pt>
                <c:pt idx="24">
                  <c:v>271099.82673600002</c:v>
                </c:pt>
                <c:pt idx="25">
                  <c:v>271927.7626320484</c:v>
                </c:pt>
                <c:pt idx="26">
                  <c:v>272735.03844376892</c:v>
                </c:pt>
                <c:pt idx="27">
                  <c:v>273526.87373889505</c:v>
                </c:pt>
                <c:pt idx="28">
                  <c:v>274296.43310255359</c:v>
                </c:pt>
                <c:pt idx="29">
                  <c:v>275045.91260159714</c:v>
                </c:pt>
                <c:pt idx="30">
                  <c:v>275777.45297847473</c:v>
                </c:pt>
                <c:pt idx="31">
                  <c:v>276484.18247859366</c:v>
                </c:pt>
                <c:pt idx="32">
                  <c:v>277168.21666856232</c:v>
                </c:pt>
                <c:pt idx="33">
                  <c:v>277840.65825178986</c:v>
                </c:pt>
                <c:pt idx="34">
                  <c:v>278479.55324940395</c:v>
                </c:pt>
                <c:pt idx="35">
                  <c:v>279098.97743986326</c:v>
                </c:pt>
                <c:pt idx="36">
                  <c:v>279691.94952774869</c:v>
                </c:pt>
                <c:pt idx="37">
                  <c:v>280257.47394568025</c:v>
                </c:pt>
                <c:pt idx="38">
                  <c:v>280803.54064674623</c:v>
                </c:pt>
                <c:pt idx="39">
                  <c:v>281320.12489391246</c:v>
                </c:pt>
                <c:pt idx="40">
                  <c:v>281809.14341436955</c:v>
                </c:pt>
                <c:pt idx="41">
                  <c:v>282266.49718018813</c:v>
                </c:pt>
                <c:pt idx="42">
                  <c:v>282697.0711791768</c:v>
                </c:pt>
                <c:pt idx="43">
                  <c:v>283098.20418240677</c:v>
                </c:pt>
              </c:numCache>
            </c:numRef>
          </c:val>
          <c:smooth val="0"/>
        </c:ser>
        <c:dLbls>
          <c:showLegendKey val="0"/>
          <c:showVal val="0"/>
          <c:showCatName val="0"/>
          <c:showSerName val="0"/>
          <c:showPercent val="0"/>
          <c:showBubbleSize val="0"/>
        </c:dLbls>
        <c:marker val="1"/>
        <c:smooth val="0"/>
        <c:axId val="111526656"/>
        <c:axId val="111528192"/>
      </c:lineChart>
      <c:catAx>
        <c:axId val="111526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528192"/>
        <c:crosses val="autoZero"/>
        <c:auto val="1"/>
        <c:lblAlgn val="ctr"/>
        <c:lblOffset val="100"/>
        <c:tickLblSkip val="3"/>
        <c:tickMarkSkip val="1"/>
        <c:noMultiLvlLbl val="0"/>
      </c:catAx>
      <c:valAx>
        <c:axId val="111528192"/>
        <c:scaling>
          <c:orientation val="minMax"/>
        </c:scaling>
        <c:delete val="0"/>
        <c:axPos val="l"/>
        <c:majorGridlines>
          <c:spPr>
            <a:ln w="3175">
              <a:solidFill>
                <a:srgbClr val="000000"/>
              </a:solidFill>
              <a:prstDash val="solid"/>
            </a:ln>
          </c:spPr>
        </c:majorGridlines>
        <c:numFmt formatCode="_(\$* #,##0_);_(\$* \(#,##0\);_(\$* &quot;-&quot;_);_(@_)"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111526656"/>
        <c:crosses val="autoZero"/>
        <c:crossBetween val="midCat"/>
      </c:valAx>
      <c:spPr>
        <a:solidFill>
          <a:srgbClr val="FFFFFF"/>
        </a:solidFill>
        <a:ln w="12700">
          <a:solidFill>
            <a:srgbClr val="808080"/>
          </a:solidFill>
          <a:prstDash val="solid"/>
        </a:ln>
      </c:spPr>
    </c:plotArea>
    <c:legend>
      <c:legendPos val="r"/>
      <c:layout>
        <c:manualLayout>
          <c:xMode val="edge"/>
          <c:yMode val="edge"/>
          <c:x val="0.63802325190120468"/>
          <c:y val="0.82895798753455918"/>
          <c:w val="0.27279039639275859"/>
          <c:h val="3.5889117052961494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0.55918</cdr:x>
      <cdr:y>0.04131</cdr:y>
    </cdr:from>
    <cdr:to>
      <cdr:x>0.55918</cdr:x>
      <cdr:y>0.92947</cdr:y>
    </cdr:to>
    <cdr:cxnSp macro="">
      <cdr:nvCxnSpPr>
        <cdr:cNvPr id="3" name="Straight Connector 2"/>
        <cdr:cNvCxnSpPr/>
      </cdr:nvCxnSpPr>
      <cdr:spPr>
        <a:xfrm xmlns:a="http://schemas.openxmlformats.org/drawingml/2006/main" flipH="1">
          <a:off x="3323542" y="165593"/>
          <a:ext cx="0" cy="3560416"/>
        </a:xfrm>
        <a:prstGeom xmlns:a="http://schemas.openxmlformats.org/drawingml/2006/main" prst="line">
          <a:avLst/>
        </a:prstGeom>
        <a:ln xmlns:a="http://schemas.openxmlformats.org/drawingml/2006/main" w="15875">
          <a:prstDash val="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0.52909</cdr:x>
      <cdr:y>0.01988</cdr:y>
    </cdr:from>
    <cdr:to>
      <cdr:x>0.52909</cdr:x>
      <cdr:y>0.92843</cdr:y>
    </cdr:to>
    <cdr:sp macro="" textlink="">
      <cdr:nvSpPr>
        <cdr:cNvPr id="2049" name="Line 1"/>
        <cdr:cNvSpPr>
          <a:spLocks xmlns:a="http://schemas.openxmlformats.org/drawingml/2006/main" noChangeShapeType="1"/>
        </cdr:cNvSpPr>
      </cdr:nvSpPr>
      <cdr:spPr bwMode="auto">
        <a:xfrm xmlns:a="http://schemas.openxmlformats.org/drawingml/2006/main" flipV="1">
          <a:off x="4541781" y="116177"/>
          <a:ext cx="0" cy="5308452"/>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0.54963</cdr:x>
      <cdr:y>0.04934</cdr:y>
    </cdr:from>
    <cdr:to>
      <cdr:x>0.54963</cdr:x>
      <cdr:y>0.93169</cdr:y>
    </cdr:to>
    <cdr:sp macro="" textlink="">
      <cdr:nvSpPr>
        <cdr:cNvPr id="3074" name="Line 2"/>
        <cdr:cNvSpPr>
          <a:spLocks xmlns:a="http://schemas.openxmlformats.org/drawingml/2006/main" noChangeShapeType="1"/>
        </cdr:cNvSpPr>
      </cdr:nvSpPr>
      <cdr:spPr bwMode="auto">
        <a:xfrm xmlns:a="http://schemas.openxmlformats.org/drawingml/2006/main" flipV="1">
          <a:off x="3266782" y="169657"/>
          <a:ext cx="0" cy="3033982"/>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0.55249</cdr:x>
      <cdr:y>0.04771</cdr:y>
    </cdr:from>
    <cdr:to>
      <cdr:x>0.5579</cdr:x>
      <cdr:y>0.92644</cdr:y>
    </cdr:to>
    <cdr:sp macro="" textlink="">
      <cdr:nvSpPr>
        <cdr:cNvPr id="1025" name="Line 1"/>
        <cdr:cNvSpPr>
          <a:spLocks xmlns:a="http://schemas.openxmlformats.org/drawingml/2006/main" noChangeShapeType="1"/>
        </cdr:cNvSpPr>
      </cdr:nvSpPr>
      <cdr:spPr bwMode="auto">
        <a:xfrm xmlns:a="http://schemas.openxmlformats.org/drawingml/2006/main" flipH="1" flipV="1">
          <a:off x="3283767" y="193015"/>
          <a:ext cx="32155" cy="3554977"/>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0.5521</cdr:x>
      <cdr:y>0.02584</cdr:y>
    </cdr:from>
    <cdr:to>
      <cdr:x>0.55616</cdr:x>
      <cdr:y>0.92445</cdr:y>
    </cdr:to>
    <cdr:sp macro="" textlink="">
      <cdr:nvSpPr>
        <cdr:cNvPr id="2049" name="Line 1"/>
        <cdr:cNvSpPr>
          <a:spLocks xmlns:a="http://schemas.openxmlformats.org/drawingml/2006/main" noChangeShapeType="1"/>
        </cdr:cNvSpPr>
      </cdr:nvSpPr>
      <cdr:spPr bwMode="auto">
        <a:xfrm xmlns:a="http://schemas.openxmlformats.org/drawingml/2006/main" flipH="1" flipV="1">
          <a:off x="4739271" y="150988"/>
          <a:ext cx="34851" cy="5250376"/>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0.55027</cdr:x>
      <cdr:y>0.04175</cdr:y>
    </cdr:from>
    <cdr:to>
      <cdr:x>0.55163</cdr:x>
      <cdr:y>0.92644</cdr:y>
    </cdr:to>
    <cdr:sp macro="" textlink="">
      <cdr:nvSpPr>
        <cdr:cNvPr id="1025" name="Line 1"/>
        <cdr:cNvSpPr>
          <a:spLocks xmlns:a="http://schemas.openxmlformats.org/drawingml/2006/main" noChangeShapeType="1"/>
        </cdr:cNvSpPr>
      </cdr:nvSpPr>
      <cdr:spPr bwMode="auto">
        <a:xfrm xmlns:a="http://schemas.openxmlformats.org/drawingml/2006/main" flipV="1">
          <a:off x="3270603" y="168903"/>
          <a:ext cx="8083" cy="3579089"/>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0.54263</cdr:x>
      <cdr:y>0.04374</cdr:y>
    </cdr:from>
    <cdr:to>
      <cdr:x>0.54679</cdr:x>
      <cdr:y>0.91559</cdr:y>
    </cdr:to>
    <cdr:sp macro="" textlink="">
      <cdr:nvSpPr>
        <cdr:cNvPr id="1025" name="Line 1"/>
        <cdr:cNvSpPr>
          <a:spLocks xmlns:a="http://schemas.openxmlformats.org/drawingml/2006/main" noChangeShapeType="1"/>
        </cdr:cNvSpPr>
      </cdr:nvSpPr>
      <cdr:spPr bwMode="auto">
        <a:xfrm xmlns:a="http://schemas.openxmlformats.org/drawingml/2006/main" flipH="1" flipV="1">
          <a:off x="4657977" y="255575"/>
          <a:ext cx="35710" cy="5094023"/>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0.55331</cdr:x>
      <cdr:y>0.03704</cdr:y>
    </cdr:from>
    <cdr:to>
      <cdr:x>0.55601</cdr:x>
      <cdr:y>0.92372</cdr:y>
    </cdr:to>
    <cdr:sp macro="" textlink="">
      <cdr:nvSpPr>
        <cdr:cNvPr id="1025" name="Line 1"/>
        <cdr:cNvSpPr>
          <a:spLocks xmlns:a="http://schemas.openxmlformats.org/drawingml/2006/main" noChangeShapeType="1"/>
        </cdr:cNvSpPr>
      </cdr:nvSpPr>
      <cdr:spPr bwMode="auto">
        <a:xfrm xmlns:a="http://schemas.openxmlformats.org/drawingml/2006/main" flipH="1" flipV="1">
          <a:off x="3288681" y="149853"/>
          <a:ext cx="16047" cy="3587139"/>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0.56335</cdr:x>
      <cdr:y>0.03019</cdr:y>
    </cdr:from>
    <cdr:to>
      <cdr:x>0.56557</cdr:x>
      <cdr:y>0.92789</cdr:y>
    </cdr:to>
    <cdr:sp macro="" textlink="">
      <cdr:nvSpPr>
        <cdr:cNvPr id="1025" name="Line 1"/>
        <cdr:cNvSpPr>
          <a:spLocks xmlns:a="http://schemas.openxmlformats.org/drawingml/2006/main" noChangeShapeType="1"/>
        </cdr:cNvSpPr>
      </cdr:nvSpPr>
      <cdr:spPr bwMode="auto">
        <a:xfrm xmlns:a="http://schemas.openxmlformats.org/drawingml/2006/main" flipH="1" flipV="1">
          <a:off x="3348304" y="122154"/>
          <a:ext cx="13195" cy="3631722"/>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9.xml><?xml version="1.0" encoding="utf-8"?>
<c:userShapes xmlns:c="http://schemas.openxmlformats.org/drawingml/2006/chart">
  <cdr:relSizeAnchor xmlns:cdr="http://schemas.openxmlformats.org/drawingml/2006/chartDrawing">
    <cdr:from>
      <cdr:x>0.5563</cdr:x>
      <cdr:y>0.02731</cdr:y>
    </cdr:from>
    <cdr:to>
      <cdr:x>0.55853</cdr:x>
      <cdr:y>0.93695</cdr:y>
    </cdr:to>
    <cdr:sp macro="" textlink="">
      <cdr:nvSpPr>
        <cdr:cNvPr id="1025" name="Line 1"/>
        <cdr:cNvSpPr>
          <a:spLocks xmlns:a="http://schemas.openxmlformats.org/drawingml/2006/main" noChangeShapeType="1"/>
        </cdr:cNvSpPr>
      </cdr:nvSpPr>
      <cdr:spPr bwMode="auto">
        <a:xfrm xmlns:a="http://schemas.openxmlformats.org/drawingml/2006/main" flipH="1" flipV="1">
          <a:off x="3306397" y="110476"/>
          <a:ext cx="13254" cy="3680025"/>
        </a:xfrm>
        <a:prstGeom xmlns:a="http://schemas.openxmlformats.org/drawingml/2006/main" prst="line">
          <a:avLst/>
        </a:prstGeom>
        <a:noFill xmlns:a="http://schemas.openxmlformats.org/drawingml/2006/main"/>
        <a:ln xmlns:a="http://schemas.openxmlformats.org/drawingml/2006/main" w="19050">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BE106-162E-4155-B4A8-7DD2CE3D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92</Pages>
  <Words>27160</Words>
  <Characters>153345</Characters>
  <Application>Microsoft Office Word</Application>
  <DocSecurity>0</DocSecurity>
  <Lines>1277</Lines>
  <Paragraphs>360</Paragraphs>
  <ScaleCrop>false</ScaleCrop>
  <HeadingPairs>
    <vt:vector size="2" baseType="variant">
      <vt:variant>
        <vt:lpstr>Title</vt:lpstr>
      </vt:variant>
      <vt:variant>
        <vt:i4>1</vt:i4>
      </vt:variant>
    </vt:vector>
  </HeadingPairs>
  <TitlesOfParts>
    <vt:vector size="1" baseType="lpstr">
      <vt:lpstr>Report Template_numbered</vt:lpstr>
    </vt:vector>
  </TitlesOfParts>
  <Company>Whatcom County</Company>
  <LinksUpToDate>false</LinksUpToDate>
  <CharactersWithSpaces>180145</CharactersWithSpaces>
  <SharedDoc>false</SharedDoc>
  <HLinks>
    <vt:vector size="1164" baseType="variant">
      <vt:variant>
        <vt:i4>1245238</vt:i4>
      </vt:variant>
      <vt:variant>
        <vt:i4>1166</vt:i4>
      </vt:variant>
      <vt:variant>
        <vt:i4>0</vt:i4>
      </vt:variant>
      <vt:variant>
        <vt:i4>5</vt:i4>
      </vt:variant>
      <vt:variant>
        <vt:lpwstr/>
      </vt:variant>
      <vt:variant>
        <vt:lpwstr>_Toc245525306</vt:lpwstr>
      </vt:variant>
      <vt:variant>
        <vt:i4>1245238</vt:i4>
      </vt:variant>
      <vt:variant>
        <vt:i4>1160</vt:i4>
      </vt:variant>
      <vt:variant>
        <vt:i4>0</vt:i4>
      </vt:variant>
      <vt:variant>
        <vt:i4>5</vt:i4>
      </vt:variant>
      <vt:variant>
        <vt:lpwstr/>
      </vt:variant>
      <vt:variant>
        <vt:lpwstr>_Toc245525305</vt:lpwstr>
      </vt:variant>
      <vt:variant>
        <vt:i4>1245238</vt:i4>
      </vt:variant>
      <vt:variant>
        <vt:i4>1154</vt:i4>
      </vt:variant>
      <vt:variant>
        <vt:i4>0</vt:i4>
      </vt:variant>
      <vt:variant>
        <vt:i4>5</vt:i4>
      </vt:variant>
      <vt:variant>
        <vt:lpwstr/>
      </vt:variant>
      <vt:variant>
        <vt:lpwstr>_Toc245525304</vt:lpwstr>
      </vt:variant>
      <vt:variant>
        <vt:i4>1245238</vt:i4>
      </vt:variant>
      <vt:variant>
        <vt:i4>1148</vt:i4>
      </vt:variant>
      <vt:variant>
        <vt:i4>0</vt:i4>
      </vt:variant>
      <vt:variant>
        <vt:i4>5</vt:i4>
      </vt:variant>
      <vt:variant>
        <vt:lpwstr/>
      </vt:variant>
      <vt:variant>
        <vt:lpwstr>_Toc245525303</vt:lpwstr>
      </vt:variant>
      <vt:variant>
        <vt:i4>1245238</vt:i4>
      </vt:variant>
      <vt:variant>
        <vt:i4>1142</vt:i4>
      </vt:variant>
      <vt:variant>
        <vt:i4>0</vt:i4>
      </vt:variant>
      <vt:variant>
        <vt:i4>5</vt:i4>
      </vt:variant>
      <vt:variant>
        <vt:lpwstr/>
      </vt:variant>
      <vt:variant>
        <vt:lpwstr>_Toc245525302</vt:lpwstr>
      </vt:variant>
      <vt:variant>
        <vt:i4>1245238</vt:i4>
      </vt:variant>
      <vt:variant>
        <vt:i4>1136</vt:i4>
      </vt:variant>
      <vt:variant>
        <vt:i4>0</vt:i4>
      </vt:variant>
      <vt:variant>
        <vt:i4>5</vt:i4>
      </vt:variant>
      <vt:variant>
        <vt:lpwstr/>
      </vt:variant>
      <vt:variant>
        <vt:lpwstr>_Toc245525301</vt:lpwstr>
      </vt:variant>
      <vt:variant>
        <vt:i4>1245244</vt:i4>
      </vt:variant>
      <vt:variant>
        <vt:i4>1127</vt:i4>
      </vt:variant>
      <vt:variant>
        <vt:i4>0</vt:i4>
      </vt:variant>
      <vt:variant>
        <vt:i4>5</vt:i4>
      </vt:variant>
      <vt:variant>
        <vt:lpwstr/>
      </vt:variant>
      <vt:variant>
        <vt:lpwstr>_Toc245621978</vt:lpwstr>
      </vt:variant>
      <vt:variant>
        <vt:i4>1245244</vt:i4>
      </vt:variant>
      <vt:variant>
        <vt:i4>1121</vt:i4>
      </vt:variant>
      <vt:variant>
        <vt:i4>0</vt:i4>
      </vt:variant>
      <vt:variant>
        <vt:i4>5</vt:i4>
      </vt:variant>
      <vt:variant>
        <vt:lpwstr/>
      </vt:variant>
      <vt:variant>
        <vt:lpwstr>_Toc245621977</vt:lpwstr>
      </vt:variant>
      <vt:variant>
        <vt:i4>1245244</vt:i4>
      </vt:variant>
      <vt:variant>
        <vt:i4>1115</vt:i4>
      </vt:variant>
      <vt:variant>
        <vt:i4>0</vt:i4>
      </vt:variant>
      <vt:variant>
        <vt:i4>5</vt:i4>
      </vt:variant>
      <vt:variant>
        <vt:lpwstr/>
      </vt:variant>
      <vt:variant>
        <vt:lpwstr>_Toc245621976</vt:lpwstr>
      </vt:variant>
      <vt:variant>
        <vt:i4>1245244</vt:i4>
      </vt:variant>
      <vt:variant>
        <vt:i4>1109</vt:i4>
      </vt:variant>
      <vt:variant>
        <vt:i4>0</vt:i4>
      </vt:variant>
      <vt:variant>
        <vt:i4>5</vt:i4>
      </vt:variant>
      <vt:variant>
        <vt:lpwstr/>
      </vt:variant>
      <vt:variant>
        <vt:lpwstr>_Toc245621975</vt:lpwstr>
      </vt:variant>
      <vt:variant>
        <vt:i4>1245244</vt:i4>
      </vt:variant>
      <vt:variant>
        <vt:i4>1103</vt:i4>
      </vt:variant>
      <vt:variant>
        <vt:i4>0</vt:i4>
      </vt:variant>
      <vt:variant>
        <vt:i4>5</vt:i4>
      </vt:variant>
      <vt:variant>
        <vt:lpwstr/>
      </vt:variant>
      <vt:variant>
        <vt:lpwstr>_Toc245621974</vt:lpwstr>
      </vt:variant>
      <vt:variant>
        <vt:i4>1245244</vt:i4>
      </vt:variant>
      <vt:variant>
        <vt:i4>1097</vt:i4>
      </vt:variant>
      <vt:variant>
        <vt:i4>0</vt:i4>
      </vt:variant>
      <vt:variant>
        <vt:i4>5</vt:i4>
      </vt:variant>
      <vt:variant>
        <vt:lpwstr/>
      </vt:variant>
      <vt:variant>
        <vt:lpwstr>_Toc245621973</vt:lpwstr>
      </vt:variant>
      <vt:variant>
        <vt:i4>1245244</vt:i4>
      </vt:variant>
      <vt:variant>
        <vt:i4>1091</vt:i4>
      </vt:variant>
      <vt:variant>
        <vt:i4>0</vt:i4>
      </vt:variant>
      <vt:variant>
        <vt:i4>5</vt:i4>
      </vt:variant>
      <vt:variant>
        <vt:lpwstr/>
      </vt:variant>
      <vt:variant>
        <vt:lpwstr>_Toc245621972</vt:lpwstr>
      </vt:variant>
      <vt:variant>
        <vt:i4>1245244</vt:i4>
      </vt:variant>
      <vt:variant>
        <vt:i4>1085</vt:i4>
      </vt:variant>
      <vt:variant>
        <vt:i4>0</vt:i4>
      </vt:variant>
      <vt:variant>
        <vt:i4>5</vt:i4>
      </vt:variant>
      <vt:variant>
        <vt:lpwstr/>
      </vt:variant>
      <vt:variant>
        <vt:lpwstr>_Toc245621971</vt:lpwstr>
      </vt:variant>
      <vt:variant>
        <vt:i4>1245244</vt:i4>
      </vt:variant>
      <vt:variant>
        <vt:i4>1079</vt:i4>
      </vt:variant>
      <vt:variant>
        <vt:i4>0</vt:i4>
      </vt:variant>
      <vt:variant>
        <vt:i4>5</vt:i4>
      </vt:variant>
      <vt:variant>
        <vt:lpwstr/>
      </vt:variant>
      <vt:variant>
        <vt:lpwstr>_Toc245621970</vt:lpwstr>
      </vt:variant>
      <vt:variant>
        <vt:i4>1179708</vt:i4>
      </vt:variant>
      <vt:variant>
        <vt:i4>1073</vt:i4>
      </vt:variant>
      <vt:variant>
        <vt:i4>0</vt:i4>
      </vt:variant>
      <vt:variant>
        <vt:i4>5</vt:i4>
      </vt:variant>
      <vt:variant>
        <vt:lpwstr/>
      </vt:variant>
      <vt:variant>
        <vt:lpwstr>_Toc245621969</vt:lpwstr>
      </vt:variant>
      <vt:variant>
        <vt:i4>1179708</vt:i4>
      </vt:variant>
      <vt:variant>
        <vt:i4>1067</vt:i4>
      </vt:variant>
      <vt:variant>
        <vt:i4>0</vt:i4>
      </vt:variant>
      <vt:variant>
        <vt:i4>5</vt:i4>
      </vt:variant>
      <vt:variant>
        <vt:lpwstr/>
      </vt:variant>
      <vt:variant>
        <vt:lpwstr>_Toc245621968</vt:lpwstr>
      </vt:variant>
      <vt:variant>
        <vt:i4>1179708</vt:i4>
      </vt:variant>
      <vt:variant>
        <vt:i4>1061</vt:i4>
      </vt:variant>
      <vt:variant>
        <vt:i4>0</vt:i4>
      </vt:variant>
      <vt:variant>
        <vt:i4>5</vt:i4>
      </vt:variant>
      <vt:variant>
        <vt:lpwstr/>
      </vt:variant>
      <vt:variant>
        <vt:lpwstr>_Toc245621967</vt:lpwstr>
      </vt:variant>
      <vt:variant>
        <vt:i4>1179708</vt:i4>
      </vt:variant>
      <vt:variant>
        <vt:i4>1055</vt:i4>
      </vt:variant>
      <vt:variant>
        <vt:i4>0</vt:i4>
      </vt:variant>
      <vt:variant>
        <vt:i4>5</vt:i4>
      </vt:variant>
      <vt:variant>
        <vt:lpwstr/>
      </vt:variant>
      <vt:variant>
        <vt:lpwstr>_Toc245621966</vt:lpwstr>
      </vt:variant>
      <vt:variant>
        <vt:i4>1179708</vt:i4>
      </vt:variant>
      <vt:variant>
        <vt:i4>1049</vt:i4>
      </vt:variant>
      <vt:variant>
        <vt:i4>0</vt:i4>
      </vt:variant>
      <vt:variant>
        <vt:i4>5</vt:i4>
      </vt:variant>
      <vt:variant>
        <vt:lpwstr/>
      </vt:variant>
      <vt:variant>
        <vt:lpwstr>_Toc245621965</vt:lpwstr>
      </vt:variant>
      <vt:variant>
        <vt:i4>1179708</vt:i4>
      </vt:variant>
      <vt:variant>
        <vt:i4>1043</vt:i4>
      </vt:variant>
      <vt:variant>
        <vt:i4>0</vt:i4>
      </vt:variant>
      <vt:variant>
        <vt:i4>5</vt:i4>
      </vt:variant>
      <vt:variant>
        <vt:lpwstr/>
      </vt:variant>
      <vt:variant>
        <vt:lpwstr>_Toc245621964</vt:lpwstr>
      </vt:variant>
      <vt:variant>
        <vt:i4>1179708</vt:i4>
      </vt:variant>
      <vt:variant>
        <vt:i4>1037</vt:i4>
      </vt:variant>
      <vt:variant>
        <vt:i4>0</vt:i4>
      </vt:variant>
      <vt:variant>
        <vt:i4>5</vt:i4>
      </vt:variant>
      <vt:variant>
        <vt:lpwstr/>
      </vt:variant>
      <vt:variant>
        <vt:lpwstr>_Toc245621963</vt:lpwstr>
      </vt:variant>
      <vt:variant>
        <vt:i4>1179708</vt:i4>
      </vt:variant>
      <vt:variant>
        <vt:i4>1031</vt:i4>
      </vt:variant>
      <vt:variant>
        <vt:i4>0</vt:i4>
      </vt:variant>
      <vt:variant>
        <vt:i4>5</vt:i4>
      </vt:variant>
      <vt:variant>
        <vt:lpwstr/>
      </vt:variant>
      <vt:variant>
        <vt:lpwstr>_Toc245621962</vt:lpwstr>
      </vt:variant>
      <vt:variant>
        <vt:i4>1179708</vt:i4>
      </vt:variant>
      <vt:variant>
        <vt:i4>1025</vt:i4>
      </vt:variant>
      <vt:variant>
        <vt:i4>0</vt:i4>
      </vt:variant>
      <vt:variant>
        <vt:i4>5</vt:i4>
      </vt:variant>
      <vt:variant>
        <vt:lpwstr/>
      </vt:variant>
      <vt:variant>
        <vt:lpwstr>_Toc245621961</vt:lpwstr>
      </vt:variant>
      <vt:variant>
        <vt:i4>1179708</vt:i4>
      </vt:variant>
      <vt:variant>
        <vt:i4>1019</vt:i4>
      </vt:variant>
      <vt:variant>
        <vt:i4>0</vt:i4>
      </vt:variant>
      <vt:variant>
        <vt:i4>5</vt:i4>
      </vt:variant>
      <vt:variant>
        <vt:lpwstr/>
      </vt:variant>
      <vt:variant>
        <vt:lpwstr>_Toc245621960</vt:lpwstr>
      </vt:variant>
      <vt:variant>
        <vt:i4>1114172</vt:i4>
      </vt:variant>
      <vt:variant>
        <vt:i4>1013</vt:i4>
      </vt:variant>
      <vt:variant>
        <vt:i4>0</vt:i4>
      </vt:variant>
      <vt:variant>
        <vt:i4>5</vt:i4>
      </vt:variant>
      <vt:variant>
        <vt:lpwstr/>
      </vt:variant>
      <vt:variant>
        <vt:lpwstr>_Toc245621959</vt:lpwstr>
      </vt:variant>
      <vt:variant>
        <vt:i4>1114172</vt:i4>
      </vt:variant>
      <vt:variant>
        <vt:i4>1007</vt:i4>
      </vt:variant>
      <vt:variant>
        <vt:i4>0</vt:i4>
      </vt:variant>
      <vt:variant>
        <vt:i4>5</vt:i4>
      </vt:variant>
      <vt:variant>
        <vt:lpwstr/>
      </vt:variant>
      <vt:variant>
        <vt:lpwstr>_Toc245621958</vt:lpwstr>
      </vt:variant>
      <vt:variant>
        <vt:i4>1114172</vt:i4>
      </vt:variant>
      <vt:variant>
        <vt:i4>1001</vt:i4>
      </vt:variant>
      <vt:variant>
        <vt:i4>0</vt:i4>
      </vt:variant>
      <vt:variant>
        <vt:i4>5</vt:i4>
      </vt:variant>
      <vt:variant>
        <vt:lpwstr/>
      </vt:variant>
      <vt:variant>
        <vt:lpwstr>_Toc245621957</vt:lpwstr>
      </vt:variant>
      <vt:variant>
        <vt:i4>1114172</vt:i4>
      </vt:variant>
      <vt:variant>
        <vt:i4>995</vt:i4>
      </vt:variant>
      <vt:variant>
        <vt:i4>0</vt:i4>
      </vt:variant>
      <vt:variant>
        <vt:i4>5</vt:i4>
      </vt:variant>
      <vt:variant>
        <vt:lpwstr/>
      </vt:variant>
      <vt:variant>
        <vt:lpwstr>_Toc245621956</vt:lpwstr>
      </vt:variant>
      <vt:variant>
        <vt:i4>1114172</vt:i4>
      </vt:variant>
      <vt:variant>
        <vt:i4>989</vt:i4>
      </vt:variant>
      <vt:variant>
        <vt:i4>0</vt:i4>
      </vt:variant>
      <vt:variant>
        <vt:i4>5</vt:i4>
      </vt:variant>
      <vt:variant>
        <vt:lpwstr/>
      </vt:variant>
      <vt:variant>
        <vt:lpwstr>_Toc245621955</vt:lpwstr>
      </vt:variant>
      <vt:variant>
        <vt:i4>1114172</vt:i4>
      </vt:variant>
      <vt:variant>
        <vt:i4>983</vt:i4>
      </vt:variant>
      <vt:variant>
        <vt:i4>0</vt:i4>
      </vt:variant>
      <vt:variant>
        <vt:i4>5</vt:i4>
      </vt:variant>
      <vt:variant>
        <vt:lpwstr/>
      </vt:variant>
      <vt:variant>
        <vt:lpwstr>_Toc245621954</vt:lpwstr>
      </vt:variant>
      <vt:variant>
        <vt:i4>1114172</vt:i4>
      </vt:variant>
      <vt:variant>
        <vt:i4>977</vt:i4>
      </vt:variant>
      <vt:variant>
        <vt:i4>0</vt:i4>
      </vt:variant>
      <vt:variant>
        <vt:i4>5</vt:i4>
      </vt:variant>
      <vt:variant>
        <vt:lpwstr/>
      </vt:variant>
      <vt:variant>
        <vt:lpwstr>_Toc245621953</vt:lpwstr>
      </vt:variant>
      <vt:variant>
        <vt:i4>1114172</vt:i4>
      </vt:variant>
      <vt:variant>
        <vt:i4>971</vt:i4>
      </vt:variant>
      <vt:variant>
        <vt:i4>0</vt:i4>
      </vt:variant>
      <vt:variant>
        <vt:i4>5</vt:i4>
      </vt:variant>
      <vt:variant>
        <vt:lpwstr/>
      </vt:variant>
      <vt:variant>
        <vt:lpwstr>_Toc245621952</vt:lpwstr>
      </vt:variant>
      <vt:variant>
        <vt:i4>1114172</vt:i4>
      </vt:variant>
      <vt:variant>
        <vt:i4>965</vt:i4>
      </vt:variant>
      <vt:variant>
        <vt:i4>0</vt:i4>
      </vt:variant>
      <vt:variant>
        <vt:i4>5</vt:i4>
      </vt:variant>
      <vt:variant>
        <vt:lpwstr/>
      </vt:variant>
      <vt:variant>
        <vt:lpwstr>_Toc245621951</vt:lpwstr>
      </vt:variant>
      <vt:variant>
        <vt:i4>1114172</vt:i4>
      </vt:variant>
      <vt:variant>
        <vt:i4>959</vt:i4>
      </vt:variant>
      <vt:variant>
        <vt:i4>0</vt:i4>
      </vt:variant>
      <vt:variant>
        <vt:i4>5</vt:i4>
      </vt:variant>
      <vt:variant>
        <vt:lpwstr/>
      </vt:variant>
      <vt:variant>
        <vt:lpwstr>_Toc245621950</vt:lpwstr>
      </vt:variant>
      <vt:variant>
        <vt:i4>1048636</vt:i4>
      </vt:variant>
      <vt:variant>
        <vt:i4>953</vt:i4>
      </vt:variant>
      <vt:variant>
        <vt:i4>0</vt:i4>
      </vt:variant>
      <vt:variant>
        <vt:i4>5</vt:i4>
      </vt:variant>
      <vt:variant>
        <vt:lpwstr/>
      </vt:variant>
      <vt:variant>
        <vt:lpwstr>_Toc245621949</vt:lpwstr>
      </vt:variant>
      <vt:variant>
        <vt:i4>1048636</vt:i4>
      </vt:variant>
      <vt:variant>
        <vt:i4>947</vt:i4>
      </vt:variant>
      <vt:variant>
        <vt:i4>0</vt:i4>
      </vt:variant>
      <vt:variant>
        <vt:i4>5</vt:i4>
      </vt:variant>
      <vt:variant>
        <vt:lpwstr/>
      </vt:variant>
      <vt:variant>
        <vt:lpwstr>_Toc245621948</vt:lpwstr>
      </vt:variant>
      <vt:variant>
        <vt:i4>1048636</vt:i4>
      </vt:variant>
      <vt:variant>
        <vt:i4>941</vt:i4>
      </vt:variant>
      <vt:variant>
        <vt:i4>0</vt:i4>
      </vt:variant>
      <vt:variant>
        <vt:i4>5</vt:i4>
      </vt:variant>
      <vt:variant>
        <vt:lpwstr/>
      </vt:variant>
      <vt:variant>
        <vt:lpwstr>_Toc245621947</vt:lpwstr>
      </vt:variant>
      <vt:variant>
        <vt:i4>1048636</vt:i4>
      </vt:variant>
      <vt:variant>
        <vt:i4>935</vt:i4>
      </vt:variant>
      <vt:variant>
        <vt:i4>0</vt:i4>
      </vt:variant>
      <vt:variant>
        <vt:i4>5</vt:i4>
      </vt:variant>
      <vt:variant>
        <vt:lpwstr/>
      </vt:variant>
      <vt:variant>
        <vt:lpwstr>_Toc245621946</vt:lpwstr>
      </vt:variant>
      <vt:variant>
        <vt:i4>1048636</vt:i4>
      </vt:variant>
      <vt:variant>
        <vt:i4>929</vt:i4>
      </vt:variant>
      <vt:variant>
        <vt:i4>0</vt:i4>
      </vt:variant>
      <vt:variant>
        <vt:i4>5</vt:i4>
      </vt:variant>
      <vt:variant>
        <vt:lpwstr/>
      </vt:variant>
      <vt:variant>
        <vt:lpwstr>_Toc245621945</vt:lpwstr>
      </vt:variant>
      <vt:variant>
        <vt:i4>1048636</vt:i4>
      </vt:variant>
      <vt:variant>
        <vt:i4>923</vt:i4>
      </vt:variant>
      <vt:variant>
        <vt:i4>0</vt:i4>
      </vt:variant>
      <vt:variant>
        <vt:i4>5</vt:i4>
      </vt:variant>
      <vt:variant>
        <vt:lpwstr/>
      </vt:variant>
      <vt:variant>
        <vt:lpwstr>_Toc245621944</vt:lpwstr>
      </vt:variant>
      <vt:variant>
        <vt:i4>1048636</vt:i4>
      </vt:variant>
      <vt:variant>
        <vt:i4>917</vt:i4>
      </vt:variant>
      <vt:variant>
        <vt:i4>0</vt:i4>
      </vt:variant>
      <vt:variant>
        <vt:i4>5</vt:i4>
      </vt:variant>
      <vt:variant>
        <vt:lpwstr/>
      </vt:variant>
      <vt:variant>
        <vt:lpwstr>_Toc245621943</vt:lpwstr>
      </vt:variant>
      <vt:variant>
        <vt:i4>1048636</vt:i4>
      </vt:variant>
      <vt:variant>
        <vt:i4>911</vt:i4>
      </vt:variant>
      <vt:variant>
        <vt:i4>0</vt:i4>
      </vt:variant>
      <vt:variant>
        <vt:i4>5</vt:i4>
      </vt:variant>
      <vt:variant>
        <vt:lpwstr/>
      </vt:variant>
      <vt:variant>
        <vt:lpwstr>_Toc245621942</vt:lpwstr>
      </vt:variant>
      <vt:variant>
        <vt:i4>1048636</vt:i4>
      </vt:variant>
      <vt:variant>
        <vt:i4>905</vt:i4>
      </vt:variant>
      <vt:variant>
        <vt:i4>0</vt:i4>
      </vt:variant>
      <vt:variant>
        <vt:i4>5</vt:i4>
      </vt:variant>
      <vt:variant>
        <vt:lpwstr/>
      </vt:variant>
      <vt:variant>
        <vt:lpwstr>_Toc245621941</vt:lpwstr>
      </vt:variant>
      <vt:variant>
        <vt:i4>1048636</vt:i4>
      </vt:variant>
      <vt:variant>
        <vt:i4>899</vt:i4>
      </vt:variant>
      <vt:variant>
        <vt:i4>0</vt:i4>
      </vt:variant>
      <vt:variant>
        <vt:i4>5</vt:i4>
      </vt:variant>
      <vt:variant>
        <vt:lpwstr/>
      </vt:variant>
      <vt:variant>
        <vt:lpwstr>_Toc245621940</vt:lpwstr>
      </vt:variant>
      <vt:variant>
        <vt:i4>1507388</vt:i4>
      </vt:variant>
      <vt:variant>
        <vt:i4>893</vt:i4>
      </vt:variant>
      <vt:variant>
        <vt:i4>0</vt:i4>
      </vt:variant>
      <vt:variant>
        <vt:i4>5</vt:i4>
      </vt:variant>
      <vt:variant>
        <vt:lpwstr/>
      </vt:variant>
      <vt:variant>
        <vt:lpwstr>_Toc245621939</vt:lpwstr>
      </vt:variant>
      <vt:variant>
        <vt:i4>1507388</vt:i4>
      </vt:variant>
      <vt:variant>
        <vt:i4>887</vt:i4>
      </vt:variant>
      <vt:variant>
        <vt:i4>0</vt:i4>
      </vt:variant>
      <vt:variant>
        <vt:i4>5</vt:i4>
      </vt:variant>
      <vt:variant>
        <vt:lpwstr/>
      </vt:variant>
      <vt:variant>
        <vt:lpwstr>_Toc245621938</vt:lpwstr>
      </vt:variant>
      <vt:variant>
        <vt:i4>1507388</vt:i4>
      </vt:variant>
      <vt:variant>
        <vt:i4>881</vt:i4>
      </vt:variant>
      <vt:variant>
        <vt:i4>0</vt:i4>
      </vt:variant>
      <vt:variant>
        <vt:i4>5</vt:i4>
      </vt:variant>
      <vt:variant>
        <vt:lpwstr/>
      </vt:variant>
      <vt:variant>
        <vt:lpwstr>_Toc245621937</vt:lpwstr>
      </vt:variant>
      <vt:variant>
        <vt:i4>1507388</vt:i4>
      </vt:variant>
      <vt:variant>
        <vt:i4>875</vt:i4>
      </vt:variant>
      <vt:variant>
        <vt:i4>0</vt:i4>
      </vt:variant>
      <vt:variant>
        <vt:i4>5</vt:i4>
      </vt:variant>
      <vt:variant>
        <vt:lpwstr/>
      </vt:variant>
      <vt:variant>
        <vt:lpwstr>_Toc245621936</vt:lpwstr>
      </vt:variant>
      <vt:variant>
        <vt:i4>1507388</vt:i4>
      </vt:variant>
      <vt:variant>
        <vt:i4>869</vt:i4>
      </vt:variant>
      <vt:variant>
        <vt:i4>0</vt:i4>
      </vt:variant>
      <vt:variant>
        <vt:i4>5</vt:i4>
      </vt:variant>
      <vt:variant>
        <vt:lpwstr/>
      </vt:variant>
      <vt:variant>
        <vt:lpwstr>_Toc245621935</vt:lpwstr>
      </vt:variant>
      <vt:variant>
        <vt:i4>1507388</vt:i4>
      </vt:variant>
      <vt:variant>
        <vt:i4>863</vt:i4>
      </vt:variant>
      <vt:variant>
        <vt:i4>0</vt:i4>
      </vt:variant>
      <vt:variant>
        <vt:i4>5</vt:i4>
      </vt:variant>
      <vt:variant>
        <vt:lpwstr/>
      </vt:variant>
      <vt:variant>
        <vt:lpwstr>_Toc245621934</vt:lpwstr>
      </vt:variant>
      <vt:variant>
        <vt:i4>1507388</vt:i4>
      </vt:variant>
      <vt:variant>
        <vt:i4>857</vt:i4>
      </vt:variant>
      <vt:variant>
        <vt:i4>0</vt:i4>
      </vt:variant>
      <vt:variant>
        <vt:i4>5</vt:i4>
      </vt:variant>
      <vt:variant>
        <vt:lpwstr/>
      </vt:variant>
      <vt:variant>
        <vt:lpwstr>_Toc245621933</vt:lpwstr>
      </vt:variant>
      <vt:variant>
        <vt:i4>1507388</vt:i4>
      </vt:variant>
      <vt:variant>
        <vt:i4>851</vt:i4>
      </vt:variant>
      <vt:variant>
        <vt:i4>0</vt:i4>
      </vt:variant>
      <vt:variant>
        <vt:i4>5</vt:i4>
      </vt:variant>
      <vt:variant>
        <vt:lpwstr/>
      </vt:variant>
      <vt:variant>
        <vt:lpwstr>_Toc245621932</vt:lpwstr>
      </vt:variant>
      <vt:variant>
        <vt:i4>1507388</vt:i4>
      </vt:variant>
      <vt:variant>
        <vt:i4>845</vt:i4>
      </vt:variant>
      <vt:variant>
        <vt:i4>0</vt:i4>
      </vt:variant>
      <vt:variant>
        <vt:i4>5</vt:i4>
      </vt:variant>
      <vt:variant>
        <vt:lpwstr/>
      </vt:variant>
      <vt:variant>
        <vt:lpwstr>_Toc245621931</vt:lpwstr>
      </vt:variant>
      <vt:variant>
        <vt:i4>1507388</vt:i4>
      </vt:variant>
      <vt:variant>
        <vt:i4>839</vt:i4>
      </vt:variant>
      <vt:variant>
        <vt:i4>0</vt:i4>
      </vt:variant>
      <vt:variant>
        <vt:i4>5</vt:i4>
      </vt:variant>
      <vt:variant>
        <vt:lpwstr/>
      </vt:variant>
      <vt:variant>
        <vt:lpwstr>_Toc245621930</vt:lpwstr>
      </vt:variant>
      <vt:variant>
        <vt:i4>1441852</vt:i4>
      </vt:variant>
      <vt:variant>
        <vt:i4>833</vt:i4>
      </vt:variant>
      <vt:variant>
        <vt:i4>0</vt:i4>
      </vt:variant>
      <vt:variant>
        <vt:i4>5</vt:i4>
      </vt:variant>
      <vt:variant>
        <vt:lpwstr/>
      </vt:variant>
      <vt:variant>
        <vt:lpwstr>_Toc245621929</vt:lpwstr>
      </vt:variant>
      <vt:variant>
        <vt:i4>1441852</vt:i4>
      </vt:variant>
      <vt:variant>
        <vt:i4>827</vt:i4>
      </vt:variant>
      <vt:variant>
        <vt:i4>0</vt:i4>
      </vt:variant>
      <vt:variant>
        <vt:i4>5</vt:i4>
      </vt:variant>
      <vt:variant>
        <vt:lpwstr/>
      </vt:variant>
      <vt:variant>
        <vt:lpwstr>_Toc245621928</vt:lpwstr>
      </vt:variant>
      <vt:variant>
        <vt:i4>1441852</vt:i4>
      </vt:variant>
      <vt:variant>
        <vt:i4>821</vt:i4>
      </vt:variant>
      <vt:variant>
        <vt:i4>0</vt:i4>
      </vt:variant>
      <vt:variant>
        <vt:i4>5</vt:i4>
      </vt:variant>
      <vt:variant>
        <vt:lpwstr/>
      </vt:variant>
      <vt:variant>
        <vt:lpwstr>_Toc245621927</vt:lpwstr>
      </vt:variant>
      <vt:variant>
        <vt:i4>1441852</vt:i4>
      </vt:variant>
      <vt:variant>
        <vt:i4>815</vt:i4>
      </vt:variant>
      <vt:variant>
        <vt:i4>0</vt:i4>
      </vt:variant>
      <vt:variant>
        <vt:i4>5</vt:i4>
      </vt:variant>
      <vt:variant>
        <vt:lpwstr/>
      </vt:variant>
      <vt:variant>
        <vt:lpwstr>_Toc245621926</vt:lpwstr>
      </vt:variant>
      <vt:variant>
        <vt:i4>1441852</vt:i4>
      </vt:variant>
      <vt:variant>
        <vt:i4>809</vt:i4>
      </vt:variant>
      <vt:variant>
        <vt:i4>0</vt:i4>
      </vt:variant>
      <vt:variant>
        <vt:i4>5</vt:i4>
      </vt:variant>
      <vt:variant>
        <vt:lpwstr/>
      </vt:variant>
      <vt:variant>
        <vt:lpwstr>_Toc245621925</vt:lpwstr>
      </vt:variant>
      <vt:variant>
        <vt:i4>1441852</vt:i4>
      </vt:variant>
      <vt:variant>
        <vt:i4>803</vt:i4>
      </vt:variant>
      <vt:variant>
        <vt:i4>0</vt:i4>
      </vt:variant>
      <vt:variant>
        <vt:i4>5</vt:i4>
      </vt:variant>
      <vt:variant>
        <vt:lpwstr/>
      </vt:variant>
      <vt:variant>
        <vt:lpwstr>_Toc245621924</vt:lpwstr>
      </vt:variant>
      <vt:variant>
        <vt:i4>1441852</vt:i4>
      </vt:variant>
      <vt:variant>
        <vt:i4>797</vt:i4>
      </vt:variant>
      <vt:variant>
        <vt:i4>0</vt:i4>
      </vt:variant>
      <vt:variant>
        <vt:i4>5</vt:i4>
      </vt:variant>
      <vt:variant>
        <vt:lpwstr/>
      </vt:variant>
      <vt:variant>
        <vt:lpwstr>_Toc245621923</vt:lpwstr>
      </vt:variant>
      <vt:variant>
        <vt:i4>1441852</vt:i4>
      </vt:variant>
      <vt:variant>
        <vt:i4>791</vt:i4>
      </vt:variant>
      <vt:variant>
        <vt:i4>0</vt:i4>
      </vt:variant>
      <vt:variant>
        <vt:i4>5</vt:i4>
      </vt:variant>
      <vt:variant>
        <vt:lpwstr/>
      </vt:variant>
      <vt:variant>
        <vt:lpwstr>_Toc245621922</vt:lpwstr>
      </vt:variant>
      <vt:variant>
        <vt:i4>1441852</vt:i4>
      </vt:variant>
      <vt:variant>
        <vt:i4>785</vt:i4>
      </vt:variant>
      <vt:variant>
        <vt:i4>0</vt:i4>
      </vt:variant>
      <vt:variant>
        <vt:i4>5</vt:i4>
      </vt:variant>
      <vt:variant>
        <vt:lpwstr/>
      </vt:variant>
      <vt:variant>
        <vt:lpwstr>_Toc245621921</vt:lpwstr>
      </vt:variant>
      <vt:variant>
        <vt:i4>1441852</vt:i4>
      </vt:variant>
      <vt:variant>
        <vt:i4>779</vt:i4>
      </vt:variant>
      <vt:variant>
        <vt:i4>0</vt:i4>
      </vt:variant>
      <vt:variant>
        <vt:i4>5</vt:i4>
      </vt:variant>
      <vt:variant>
        <vt:lpwstr/>
      </vt:variant>
      <vt:variant>
        <vt:lpwstr>_Toc245621920</vt:lpwstr>
      </vt:variant>
      <vt:variant>
        <vt:i4>1376316</vt:i4>
      </vt:variant>
      <vt:variant>
        <vt:i4>773</vt:i4>
      </vt:variant>
      <vt:variant>
        <vt:i4>0</vt:i4>
      </vt:variant>
      <vt:variant>
        <vt:i4>5</vt:i4>
      </vt:variant>
      <vt:variant>
        <vt:lpwstr/>
      </vt:variant>
      <vt:variant>
        <vt:lpwstr>_Toc245621919</vt:lpwstr>
      </vt:variant>
      <vt:variant>
        <vt:i4>1376316</vt:i4>
      </vt:variant>
      <vt:variant>
        <vt:i4>767</vt:i4>
      </vt:variant>
      <vt:variant>
        <vt:i4>0</vt:i4>
      </vt:variant>
      <vt:variant>
        <vt:i4>5</vt:i4>
      </vt:variant>
      <vt:variant>
        <vt:lpwstr/>
      </vt:variant>
      <vt:variant>
        <vt:lpwstr>_Toc245621918</vt:lpwstr>
      </vt:variant>
      <vt:variant>
        <vt:i4>1376316</vt:i4>
      </vt:variant>
      <vt:variant>
        <vt:i4>761</vt:i4>
      </vt:variant>
      <vt:variant>
        <vt:i4>0</vt:i4>
      </vt:variant>
      <vt:variant>
        <vt:i4>5</vt:i4>
      </vt:variant>
      <vt:variant>
        <vt:lpwstr/>
      </vt:variant>
      <vt:variant>
        <vt:lpwstr>_Toc245621917</vt:lpwstr>
      </vt:variant>
      <vt:variant>
        <vt:i4>1376316</vt:i4>
      </vt:variant>
      <vt:variant>
        <vt:i4>755</vt:i4>
      </vt:variant>
      <vt:variant>
        <vt:i4>0</vt:i4>
      </vt:variant>
      <vt:variant>
        <vt:i4>5</vt:i4>
      </vt:variant>
      <vt:variant>
        <vt:lpwstr/>
      </vt:variant>
      <vt:variant>
        <vt:lpwstr>_Toc245621916</vt:lpwstr>
      </vt:variant>
      <vt:variant>
        <vt:i4>1376316</vt:i4>
      </vt:variant>
      <vt:variant>
        <vt:i4>749</vt:i4>
      </vt:variant>
      <vt:variant>
        <vt:i4>0</vt:i4>
      </vt:variant>
      <vt:variant>
        <vt:i4>5</vt:i4>
      </vt:variant>
      <vt:variant>
        <vt:lpwstr/>
      </vt:variant>
      <vt:variant>
        <vt:lpwstr>_Toc245621915</vt:lpwstr>
      </vt:variant>
      <vt:variant>
        <vt:i4>1376316</vt:i4>
      </vt:variant>
      <vt:variant>
        <vt:i4>743</vt:i4>
      </vt:variant>
      <vt:variant>
        <vt:i4>0</vt:i4>
      </vt:variant>
      <vt:variant>
        <vt:i4>5</vt:i4>
      </vt:variant>
      <vt:variant>
        <vt:lpwstr/>
      </vt:variant>
      <vt:variant>
        <vt:lpwstr>_Toc245621914</vt:lpwstr>
      </vt:variant>
      <vt:variant>
        <vt:i4>1376316</vt:i4>
      </vt:variant>
      <vt:variant>
        <vt:i4>737</vt:i4>
      </vt:variant>
      <vt:variant>
        <vt:i4>0</vt:i4>
      </vt:variant>
      <vt:variant>
        <vt:i4>5</vt:i4>
      </vt:variant>
      <vt:variant>
        <vt:lpwstr/>
      </vt:variant>
      <vt:variant>
        <vt:lpwstr>_Toc245621913</vt:lpwstr>
      </vt:variant>
      <vt:variant>
        <vt:i4>1376316</vt:i4>
      </vt:variant>
      <vt:variant>
        <vt:i4>731</vt:i4>
      </vt:variant>
      <vt:variant>
        <vt:i4>0</vt:i4>
      </vt:variant>
      <vt:variant>
        <vt:i4>5</vt:i4>
      </vt:variant>
      <vt:variant>
        <vt:lpwstr/>
      </vt:variant>
      <vt:variant>
        <vt:lpwstr>_Toc245621912</vt:lpwstr>
      </vt:variant>
      <vt:variant>
        <vt:i4>1376316</vt:i4>
      </vt:variant>
      <vt:variant>
        <vt:i4>725</vt:i4>
      </vt:variant>
      <vt:variant>
        <vt:i4>0</vt:i4>
      </vt:variant>
      <vt:variant>
        <vt:i4>5</vt:i4>
      </vt:variant>
      <vt:variant>
        <vt:lpwstr/>
      </vt:variant>
      <vt:variant>
        <vt:lpwstr>_Toc245621911</vt:lpwstr>
      </vt:variant>
      <vt:variant>
        <vt:i4>1376316</vt:i4>
      </vt:variant>
      <vt:variant>
        <vt:i4>719</vt:i4>
      </vt:variant>
      <vt:variant>
        <vt:i4>0</vt:i4>
      </vt:variant>
      <vt:variant>
        <vt:i4>5</vt:i4>
      </vt:variant>
      <vt:variant>
        <vt:lpwstr/>
      </vt:variant>
      <vt:variant>
        <vt:lpwstr>_Toc245621910</vt:lpwstr>
      </vt:variant>
      <vt:variant>
        <vt:i4>1310780</vt:i4>
      </vt:variant>
      <vt:variant>
        <vt:i4>713</vt:i4>
      </vt:variant>
      <vt:variant>
        <vt:i4>0</vt:i4>
      </vt:variant>
      <vt:variant>
        <vt:i4>5</vt:i4>
      </vt:variant>
      <vt:variant>
        <vt:lpwstr/>
      </vt:variant>
      <vt:variant>
        <vt:lpwstr>_Toc245621909</vt:lpwstr>
      </vt:variant>
      <vt:variant>
        <vt:i4>1310780</vt:i4>
      </vt:variant>
      <vt:variant>
        <vt:i4>707</vt:i4>
      </vt:variant>
      <vt:variant>
        <vt:i4>0</vt:i4>
      </vt:variant>
      <vt:variant>
        <vt:i4>5</vt:i4>
      </vt:variant>
      <vt:variant>
        <vt:lpwstr/>
      </vt:variant>
      <vt:variant>
        <vt:lpwstr>_Toc245621908</vt:lpwstr>
      </vt:variant>
      <vt:variant>
        <vt:i4>1310780</vt:i4>
      </vt:variant>
      <vt:variant>
        <vt:i4>701</vt:i4>
      </vt:variant>
      <vt:variant>
        <vt:i4>0</vt:i4>
      </vt:variant>
      <vt:variant>
        <vt:i4>5</vt:i4>
      </vt:variant>
      <vt:variant>
        <vt:lpwstr/>
      </vt:variant>
      <vt:variant>
        <vt:lpwstr>_Toc245621907</vt:lpwstr>
      </vt:variant>
      <vt:variant>
        <vt:i4>1310780</vt:i4>
      </vt:variant>
      <vt:variant>
        <vt:i4>695</vt:i4>
      </vt:variant>
      <vt:variant>
        <vt:i4>0</vt:i4>
      </vt:variant>
      <vt:variant>
        <vt:i4>5</vt:i4>
      </vt:variant>
      <vt:variant>
        <vt:lpwstr/>
      </vt:variant>
      <vt:variant>
        <vt:lpwstr>_Toc245621906</vt:lpwstr>
      </vt:variant>
      <vt:variant>
        <vt:i4>1310780</vt:i4>
      </vt:variant>
      <vt:variant>
        <vt:i4>689</vt:i4>
      </vt:variant>
      <vt:variant>
        <vt:i4>0</vt:i4>
      </vt:variant>
      <vt:variant>
        <vt:i4>5</vt:i4>
      </vt:variant>
      <vt:variant>
        <vt:lpwstr/>
      </vt:variant>
      <vt:variant>
        <vt:lpwstr>_Toc245621905</vt:lpwstr>
      </vt:variant>
      <vt:variant>
        <vt:i4>1310780</vt:i4>
      </vt:variant>
      <vt:variant>
        <vt:i4>683</vt:i4>
      </vt:variant>
      <vt:variant>
        <vt:i4>0</vt:i4>
      </vt:variant>
      <vt:variant>
        <vt:i4>5</vt:i4>
      </vt:variant>
      <vt:variant>
        <vt:lpwstr/>
      </vt:variant>
      <vt:variant>
        <vt:lpwstr>_Toc245621904</vt:lpwstr>
      </vt:variant>
      <vt:variant>
        <vt:i4>1310780</vt:i4>
      </vt:variant>
      <vt:variant>
        <vt:i4>677</vt:i4>
      </vt:variant>
      <vt:variant>
        <vt:i4>0</vt:i4>
      </vt:variant>
      <vt:variant>
        <vt:i4>5</vt:i4>
      </vt:variant>
      <vt:variant>
        <vt:lpwstr/>
      </vt:variant>
      <vt:variant>
        <vt:lpwstr>_Toc245621903</vt:lpwstr>
      </vt:variant>
      <vt:variant>
        <vt:i4>1310780</vt:i4>
      </vt:variant>
      <vt:variant>
        <vt:i4>671</vt:i4>
      </vt:variant>
      <vt:variant>
        <vt:i4>0</vt:i4>
      </vt:variant>
      <vt:variant>
        <vt:i4>5</vt:i4>
      </vt:variant>
      <vt:variant>
        <vt:lpwstr/>
      </vt:variant>
      <vt:variant>
        <vt:lpwstr>_Toc245621902</vt:lpwstr>
      </vt:variant>
      <vt:variant>
        <vt:i4>1310780</vt:i4>
      </vt:variant>
      <vt:variant>
        <vt:i4>662</vt:i4>
      </vt:variant>
      <vt:variant>
        <vt:i4>0</vt:i4>
      </vt:variant>
      <vt:variant>
        <vt:i4>5</vt:i4>
      </vt:variant>
      <vt:variant>
        <vt:lpwstr/>
      </vt:variant>
      <vt:variant>
        <vt:lpwstr>_Toc245621901</vt:lpwstr>
      </vt:variant>
      <vt:variant>
        <vt:i4>1310780</vt:i4>
      </vt:variant>
      <vt:variant>
        <vt:i4>656</vt:i4>
      </vt:variant>
      <vt:variant>
        <vt:i4>0</vt:i4>
      </vt:variant>
      <vt:variant>
        <vt:i4>5</vt:i4>
      </vt:variant>
      <vt:variant>
        <vt:lpwstr/>
      </vt:variant>
      <vt:variant>
        <vt:lpwstr>_Toc245621900</vt:lpwstr>
      </vt:variant>
      <vt:variant>
        <vt:i4>1900605</vt:i4>
      </vt:variant>
      <vt:variant>
        <vt:i4>650</vt:i4>
      </vt:variant>
      <vt:variant>
        <vt:i4>0</vt:i4>
      </vt:variant>
      <vt:variant>
        <vt:i4>5</vt:i4>
      </vt:variant>
      <vt:variant>
        <vt:lpwstr/>
      </vt:variant>
      <vt:variant>
        <vt:lpwstr>_Toc245621899</vt:lpwstr>
      </vt:variant>
      <vt:variant>
        <vt:i4>1900605</vt:i4>
      </vt:variant>
      <vt:variant>
        <vt:i4>644</vt:i4>
      </vt:variant>
      <vt:variant>
        <vt:i4>0</vt:i4>
      </vt:variant>
      <vt:variant>
        <vt:i4>5</vt:i4>
      </vt:variant>
      <vt:variant>
        <vt:lpwstr/>
      </vt:variant>
      <vt:variant>
        <vt:lpwstr>_Toc245621898</vt:lpwstr>
      </vt:variant>
      <vt:variant>
        <vt:i4>1900605</vt:i4>
      </vt:variant>
      <vt:variant>
        <vt:i4>638</vt:i4>
      </vt:variant>
      <vt:variant>
        <vt:i4>0</vt:i4>
      </vt:variant>
      <vt:variant>
        <vt:i4>5</vt:i4>
      </vt:variant>
      <vt:variant>
        <vt:lpwstr/>
      </vt:variant>
      <vt:variant>
        <vt:lpwstr>_Toc245621897</vt:lpwstr>
      </vt:variant>
      <vt:variant>
        <vt:i4>1900605</vt:i4>
      </vt:variant>
      <vt:variant>
        <vt:i4>632</vt:i4>
      </vt:variant>
      <vt:variant>
        <vt:i4>0</vt:i4>
      </vt:variant>
      <vt:variant>
        <vt:i4>5</vt:i4>
      </vt:variant>
      <vt:variant>
        <vt:lpwstr/>
      </vt:variant>
      <vt:variant>
        <vt:lpwstr>_Toc245621896</vt:lpwstr>
      </vt:variant>
      <vt:variant>
        <vt:i4>1900605</vt:i4>
      </vt:variant>
      <vt:variant>
        <vt:i4>626</vt:i4>
      </vt:variant>
      <vt:variant>
        <vt:i4>0</vt:i4>
      </vt:variant>
      <vt:variant>
        <vt:i4>5</vt:i4>
      </vt:variant>
      <vt:variant>
        <vt:lpwstr/>
      </vt:variant>
      <vt:variant>
        <vt:lpwstr>_Toc245621895</vt:lpwstr>
      </vt:variant>
      <vt:variant>
        <vt:i4>1900605</vt:i4>
      </vt:variant>
      <vt:variant>
        <vt:i4>620</vt:i4>
      </vt:variant>
      <vt:variant>
        <vt:i4>0</vt:i4>
      </vt:variant>
      <vt:variant>
        <vt:i4>5</vt:i4>
      </vt:variant>
      <vt:variant>
        <vt:lpwstr/>
      </vt:variant>
      <vt:variant>
        <vt:lpwstr>_Toc245621894</vt:lpwstr>
      </vt:variant>
      <vt:variant>
        <vt:i4>1900605</vt:i4>
      </vt:variant>
      <vt:variant>
        <vt:i4>614</vt:i4>
      </vt:variant>
      <vt:variant>
        <vt:i4>0</vt:i4>
      </vt:variant>
      <vt:variant>
        <vt:i4>5</vt:i4>
      </vt:variant>
      <vt:variant>
        <vt:lpwstr/>
      </vt:variant>
      <vt:variant>
        <vt:lpwstr>_Toc245621893</vt:lpwstr>
      </vt:variant>
      <vt:variant>
        <vt:i4>1900605</vt:i4>
      </vt:variant>
      <vt:variant>
        <vt:i4>608</vt:i4>
      </vt:variant>
      <vt:variant>
        <vt:i4>0</vt:i4>
      </vt:variant>
      <vt:variant>
        <vt:i4>5</vt:i4>
      </vt:variant>
      <vt:variant>
        <vt:lpwstr/>
      </vt:variant>
      <vt:variant>
        <vt:lpwstr>_Toc245621892</vt:lpwstr>
      </vt:variant>
      <vt:variant>
        <vt:i4>1900605</vt:i4>
      </vt:variant>
      <vt:variant>
        <vt:i4>602</vt:i4>
      </vt:variant>
      <vt:variant>
        <vt:i4>0</vt:i4>
      </vt:variant>
      <vt:variant>
        <vt:i4>5</vt:i4>
      </vt:variant>
      <vt:variant>
        <vt:lpwstr/>
      </vt:variant>
      <vt:variant>
        <vt:lpwstr>_Toc245621891</vt:lpwstr>
      </vt:variant>
      <vt:variant>
        <vt:i4>1900605</vt:i4>
      </vt:variant>
      <vt:variant>
        <vt:i4>596</vt:i4>
      </vt:variant>
      <vt:variant>
        <vt:i4>0</vt:i4>
      </vt:variant>
      <vt:variant>
        <vt:i4>5</vt:i4>
      </vt:variant>
      <vt:variant>
        <vt:lpwstr/>
      </vt:variant>
      <vt:variant>
        <vt:lpwstr>_Toc245621890</vt:lpwstr>
      </vt:variant>
      <vt:variant>
        <vt:i4>1835069</vt:i4>
      </vt:variant>
      <vt:variant>
        <vt:i4>590</vt:i4>
      </vt:variant>
      <vt:variant>
        <vt:i4>0</vt:i4>
      </vt:variant>
      <vt:variant>
        <vt:i4>5</vt:i4>
      </vt:variant>
      <vt:variant>
        <vt:lpwstr/>
      </vt:variant>
      <vt:variant>
        <vt:lpwstr>_Toc245621889</vt:lpwstr>
      </vt:variant>
      <vt:variant>
        <vt:i4>1835069</vt:i4>
      </vt:variant>
      <vt:variant>
        <vt:i4>584</vt:i4>
      </vt:variant>
      <vt:variant>
        <vt:i4>0</vt:i4>
      </vt:variant>
      <vt:variant>
        <vt:i4>5</vt:i4>
      </vt:variant>
      <vt:variant>
        <vt:lpwstr/>
      </vt:variant>
      <vt:variant>
        <vt:lpwstr>_Toc245621888</vt:lpwstr>
      </vt:variant>
      <vt:variant>
        <vt:i4>1835069</vt:i4>
      </vt:variant>
      <vt:variant>
        <vt:i4>578</vt:i4>
      </vt:variant>
      <vt:variant>
        <vt:i4>0</vt:i4>
      </vt:variant>
      <vt:variant>
        <vt:i4>5</vt:i4>
      </vt:variant>
      <vt:variant>
        <vt:lpwstr/>
      </vt:variant>
      <vt:variant>
        <vt:lpwstr>_Toc245621887</vt:lpwstr>
      </vt:variant>
      <vt:variant>
        <vt:i4>1835069</vt:i4>
      </vt:variant>
      <vt:variant>
        <vt:i4>572</vt:i4>
      </vt:variant>
      <vt:variant>
        <vt:i4>0</vt:i4>
      </vt:variant>
      <vt:variant>
        <vt:i4>5</vt:i4>
      </vt:variant>
      <vt:variant>
        <vt:lpwstr/>
      </vt:variant>
      <vt:variant>
        <vt:lpwstr>_Toc245621886</vt:lpwstr>
      </vt:variant>
      <vt:variant>
        <vt:i4>1835069</vt:i4>
      </vt:variant>
      <vt:variant>
        <vt:i4>566</vt:i4>
      </vt:variant>
      <vt:variant>
        <vt:i4>0</vt:i4>
      </vt:variant>
      <vt:variant>
        <vt:i4>5</vt:i4>
      </vt:variant>
      <vt:variant>
        <vt:lpwstr/>
      </vt:variant>
      <vt:variant>
        <vt:lpwstr>_Toc245621885</vt:lpwstr>
      </vt:variant>
      <vt:variant>
        <vt:i4>1835069</vt:i4>
      </vt:variant>
      <vt:variant>
        <vt:i4>560</vt:i4>
      </vt:variant>
      <vt:variant>
        <vt:i4>0</vt:i4>
      </vt:variant>
      <vt:variant>
        <vt:i4>5</vt:i4>
      </vt:variant>
      <vt:variant>
        <vt:lpwstr/>
      </vt:variant>
      <vt:variant>
        <vt:lpwstr>_Toc245621884</vt:lpwstr>
      </vt:variant>
      <vt:variant>
        <vt:i4>1835069</vt:i4>
      </vt:variant>
      <vt:variant>
        <vt:i4>554</vt:i4>
      </vt:variant>
      <vt:variant>
        <vt:i4>0</vt:i4>
      </vt:variant>
      <vt:variant>
        <vt:i4>5</vt:i4>
      </vt:variant>
      <vt:variant>
        <vt:lpwstr/>
      </vt:variant>
      <vt:variant>
        <vt:lpwstr>_Toc245621883</vt:lpwstr>
      </vt:variant>
      <vt:variant>
        <vt:i4>1835069</vt:i4>
      </vt:variant>
      <vt:variant>
        <vt:i4>548</vt:i4>
      </vt:variant>
      <vt:variant>
        <vt:i4>0</vt:i4>
      </vt:variant>
      <vt:variant>
        <vt:i4>5</vt:i4>
      </vt:variant>
      <vt:variant>
        <vt:lpwstr/>
      </vt:variant>
      <vt:variant>
        <vt:lpwstr>_Toc245621882</vt:lpwstr>
      </vt:variant>
      <vt:variant>
        <vt:i4>1835069</vt:i4>
      </vt:variant>
      <vt:variant>
        <vt:i4>542</vt:i4>
      </vt:variant>
      <vt:variant>
        <vt:i4>0</vt:i4>
      </vt:variant>
      <vt:variant>
        <vt:i4>5</vt:i4>
      </vt:variant>
      <vt:variant>
        <vt:lpwstr/>
      </vt:variant>
      <vt:variant>
        <vt:lpwstr>_Toc245621881</vt:lpwstr>
      </vt:variant>
      <vt:variant>
        <vt:i4>1835069</vt:i4>
      </vt:variant>
      <vt:variant>
        <vt:i4>536</vt:i4>
      </vt:variant>
      <vt:variant>
        <vt:i4>0</vt:i4>
      </vt:variant>
      <vt:variant>
        <vt:i4>5</vt:i4>
      </vt:variant>
      <vt:variant>
        <vt:lpwstr/>
      </vt:variant>
      <vt:variant>
        <vt:lpwstr>_Toc245621880</vt:lpwstr>
      </vt:variant>
      <vt:variant>
        <vt:i4>1245245</vt:i4>
      </vt:variant>
      <vt:variant>
        <vt:i4>530</vt:i4>
      </vt:variant>
      <vt:variant>
        <vt:i4>0</vt:i4>
      </vt:variant>
      <vt:variant>
        <vt:i4>5</vt:i4>
      </vt:variant>
      <vt:variant>
        <vt:lpwstr/>
      </vt:variant>
      <vt:variant>
        <vt:lpwstr>_Toc245621879</vt:lpwstr>
      </vt:variant>
      <vt:variant>
        <vt:i4>1245245</vt:i4>
      </vt:variant>
      <vt:variant>
        <vt:i4>524</vt:i4>
      </vt:variant>
      <vt:variant>
        <vt:i4>0</vt:i4>
      </vt:variant>
      <vt:variant>
        <vt:i4>5</vt:i4>
      </vt:variant>
      <vt:variant>
        <vt:lpwstr/>
      </vt:variant>
      <vt:variant>
        <vt:lpwstr>_Toc245621878</vt:lpwstr>
      </vt:variant>
      <vt:variant>
        <vt:i4>1245245</vt:i4>
      </vt:variant>
      <vt:variant>
        <vt:i4>518</vt:i4>
      </vt:variant>
      <vt:variant>
        <vt:i4>0</vt:i4>
      </vt:variant>
      <vt:variant>
        <vt:i4>5</vt:i4>
      </vt:variant>
      <vt:variant>
        <vt:lpwstr/>
      </vt:variant>
      <vt:variant>
        <vt:lpwstr>_Toc245621877</vt:lpwstr>
      </vt:variant>
      <vt:variant>
        <vt:i4>1245245</vt:i4>
      </vt:variant>
      <vt:variant>
        <vt:i4>512</vt:i4>
      </vt:variant>
      <vt:variant>
        <vt:i4>0</vt:i4>
      </vt:variant>
      <vt:variant>
        <vt:i4>5</vt:i4>
      </vt:variant>
      <vt:variant>
        <vt:lpwstr/>
      </vt:variant>
      <vt:variant>
        <vt:lpwstr>_Toc245621876</vt:lpwstr>
      </vt:variant>
      <vt:variant>
        <vt:i4>1245245</vt:i4>
      </vt:variant>
      <vt:variant>
        <vt:i4>506</vt:i4>
      </vt:variant>
      <vt:variant>
        <vt:i4>0</vt:i4>
      </vt:variant>
      <vt:variant>
        <vt:i4>5</vt:i4>
      </vt:variant>
      <vt:variant>
        <vt:lpwstr/>
      </vt:variant>
      <vt:variant>
        <vt:lpwstr>_Toc245621875</vt:lpwstr>
      </vt:variant>
      <vt:variant>
        <vt:i4>1245245</vt:i4>
      </vt:variant>
      <vt:variant>
        <vt:i4>500</vt:i4>
      </vt:variant>
      <vt:variant>
        <vt:i4>0</vt:i4>
      </vt:variant>
      <vt:variant>
        <vt:i4>5</vt:i4>
      </vt:variant>
      <vt:variant>
        <vt:lpwstr/>
      </vt:variant>
      <vt:variant>
        <vt:lpwstr>_Toc245621874</vt:lpwstr>
      </vt:variant>
      <vt:variant>
        <vt:i4>1245245</vt:i4>
      </vt:variant>
      <vt:variant>
        <vt:i4>494</vt:i4>
      </vt:variant>
      <vt:variant>
        <vt:i4>0</vt:i4>
      </vt:variant>
      <vt:variant>
        <vt:i4>5</vt:i4>
      </vt:variant>
      <vt:variant>
        <vt:lpwstr/>
      </vt:variant>
      <vt:variant>
        <vt:lpwstr>_Toc245621873</vt:lpwstr>
      </vt:variant>
      <vt:variant>
        <vt:i4>1245245</vt:i4>
      </vt:variant>
      <vt:variant>
        <vt:i4>488</vt:i4>
      </vt:variant>
      <vt:variant>
        <vt:i4>0</vt:i4>
      </vt:variant>
      <vt:variant>
        <vt:i4>5</vt:i4>
      </vt:variant>
      <vt:variant>
        <vt:lpwstr/>
      </vt:variant>
      <vt:variant>
        <vt:lpwstr>_Toc245621872</vt:lpwstr>
      </vt:variant>
      <vt:variant>
        <vt:i4>1245245</vt:i4>
      </vt:variant>
      <vt:variant>
        <vt:i4>482</vt:i4>
      </vt:variant>
      <vt:variant>
        <vt:i4>0</vt:i4>
      </vt:variant>
      <vt:variant>
        <vt:i4>5</vt:i4>
      </vt:variant>
      <vt:variant>
        <vt:lpwstr/>
      </vt:variant>
      <vt:variant>
        <vt:lpwstr>_Toc245621871</vt:lpwstr>
      </vt:variant>
      <vt:variant>
        <vt:i4>1245245</vt:i4>
      </vt:variant>
      <vt:variant>
        <vt:i4>476</vt:i4>
      </vt:variant>
      <vt:variant>
        <vt:i4>0</vt:i4>
      </vt:variant>
      <vt:variant>
        <vt:i4>5</vt:i4>
      </vt:variant>
      <vt:variant>
        <vt:lpwstr/>
      </vt:variant>
      <vt:variant>
        <vt:lpwstr>_Toc245621870</vt:lpwstr>
      </vt:variant>
      <vt:variant>
        <vt:i4>1179709</vt:i4>
      </vt:variant>
      <vt:variant>
        <vt:i4>470</vt:i4>
      </vt:variant>
      <vt:variant>
        <vt:i4>0</vt:i4>
      </vt:variant>
      <vt:variant>
        <vt:i4>5</vt:i4>
      </vt:variant>
      <vt:variant>
        <vt:lpwstr/>
      </vt:variant>
      <vt:variant>
        <vt:lpwstr>_Toc245621869</vt:lpwstr>
      </vt:variant>
      <vt:variant>
        <vt:i4>1179709</vt:i4>
      </vt:variant>
      <vt:variant>
        <vt:i4>464</vt:i4>
      </vt:variant>
      <vt:variant>
        <vt:i4>0</vt:i4>
      </vt:variant>
      <vt:variant>
        <vt:i4>5</vt:i4>
      </vt:variant>
      <vt:variant>
        <vt:lpwstr/>
      </vt:variant>
      <vt:variant>
        <vt:lpwstr>_Toc245621868</vt:lpwstr>
      </vt:variant>
      <vt:variant>
        <vt:i4>1179709</vt:i4>
      </vt:variant>
      <vt:variant>
        <vt:i4>458</vt:i4>
      </vt:variant>
      <vt:variant>
        <vt:i4>0</vt:i4>
      </vt:variant>
      <vt:variant>
        <vt:i4>5</vt:i4>
      </vt:variant>
      <vt:variant>
        <vt:lpwstr/>
      </vt:variant>
      <vt:variant>
        <vt:lpwstr>_Toc245621867</vt:lpwstr>
      </vt:variant>
      <vt:variant>
        <vt:i4>1179709</vt:i4>
      </vt:variant>
      <vt:variant>
        <vt:i4>452</vt:i4>
      </vt:variant>
      <vt:variant>
        <vt:i4>0</vt:i4>
      </vt:variant>
      <vt:variant>
        <vt:i4>5</vt:i4>
      </vt:variant>
      <vt:variant>
        <vt:lpwstr/>
      </vt:variant>
      <vt:variant>
        <vt:lpwstr>_Toc245621866</vt:lpwstr>
      </vt:variant>
      <vt:variant>
        <vt:i4>1179709</vt:i4>
      </vt:variant>
      <vt:variant>
        <vt:i4>446</vt:i4>
      </vt:variant>
      <vt:variant>
        <vt:i4>0</vt:i4>
      </vt:variant>
      <vt:variant>
        <vt:i4>5</vt:i4>
      </vt:variant>
      <vt:variant>
        <vt:lpwstr/>
      </vt:variant>
      <vt:variant>
        <vt:lpwstr>_Toc245621865</vt:lpwstr>
      </vt:variant>
      <vt:variant>
        <vt:i4>1179709</vt:i4>
      </vt:variant>
      <vt:variant>
        <vt:i4>440</vt:i4>
      </vt:variant>
      <vt:variant>
        <vt:i4>0</vt:i4>
      </vt:variant>
      <vt:variant>
        <vt:i4>5</vt:i4>
      </vt:variant>
      <vt:variant>
        <vt:lpwstr/>
      </vt:variant>
      <vt:variant>
        <vt:lpwstr>_Toc245621864</vt:lpwstr>
      </vt:variant>
      <vt:variant>
        <vt:i4>1179709</vt:i4>
      </vt:variant>
      <vt:variant>
        <vt:i4>434</vt:i4>
      </vt:variant>
      <vt:variant>
        <vt:i4>0</vt:i4>
      </vt:variant>
      <vt:variant>
        <vt:i4>5</vt:i4>
      </vt:variant>
      <vt:variant>
        <vt:lpwstr/>
      </vt:variant>
      <vt:variant>
        <vt:lpwstr>_Toc245621863</vt:lpwstr>
      </vt:variant>
      <vt:variant>
        <vt:i4>1179709</vt:i4>
      </vt:variant>
      <vt:variant>
        <vt:i4>428</vt:i4>
      </vt:variant>
      <vt:variant>
        <vt:i4>0</vt:i4>
      </vt:variant>
      <vt:variant>
        <vt:i4>5</vt:i4>
      </vt:variant>
      <vt:variant>
        <vt:lpwstr/>
      </vt:variant>
      <vt:variant>
        <vt:lpwstr>_Toc245621862</vt:lpwstr>
      </vt:variant>
      <vt:variant>
        <vt:i4>1179709</vt:i4>
      </vt:variant>
      <vt:variant>
        <vt:i4>422</vt:i4>
      </vt:variant>
      <vt:variant>
        <vt:i4>0</vt:i4>
      </vt:variant>
      <vt:variant>
        <vt:i4>5</vt:i4>
      </vt:variant>
      <vt:variant>
        <vt:lpwstr/>
      </vt:variant>
      <vt:variant>
        <vt:lpwstr>_Toc245621861</vt:lpwstr>
      </vt:variant>
      <vt:variant>
        <vt:i4>1179709</vt:i4>
      </vt:variant>
      <vt:variant>
        <vt:i4>416</vt:i4>
      </vt:variant>
      <vt:variant>
        <vt:i4>0</vt:i4>
      </vt:variant>
      <vt:variant>
        <vt:i4>5</vt:i4>
      </vt:variant>
      <vt:variant>
        <vt:lpwstr/>
      </vt:variant>
      <vt:variant>
        <vt:lpwstr>_Toc245621860</vt:lpwstr>
      </vt:variant>
      <vt:variant>
        <vt:i4>1114173</vt:i4>
      </vt:variant>
      <vt:variant>
        <vt:i4>410</vt:i4>
      </vt:variant>
      <vt:variant>
        <vt:i4>0</vt:i4>
      </vt:variant>
      <vt:variant>
        <vt:i4>5</vt:i4>
      </vt:variant>
      <vt:variant>
        <vt:lpwstr/>
      </vt:variant>
      <vt:variant>
        <vt:lpwstr>_Toc245621859</vt:lpwstr>
      </vt:variant>
      <vt:variant>
        <vt:i4>1114173</vt:i4>
      </vt:variant>
      <vt:variant>
        <vt:i4>404</vt:i4>
      </vt:variant>
      <vt:variant>
        <vt:i4>0</vt:i4>
      </vt:variant>
      <vt:variant>
        <vt:i4>5</vt:i4>
      </vt:variant>
      <vt:variant>
        <vt:lpwstr/>
      </vt:variant>
      <vt:variant>
        <vt:lpwstr>_Toc245621858</vt:lpwstr>
      </vt:variant>
      <vt:variant>
        <vt:i4>1114173</vt:i4>
      </vt:variant>
      <vt:variant>
        <vt:i4>398</vt:i4>
      </vt:variant>
      <vt:variant>
        <vt:i4>0</vt:i4>
      </vt:variant>
      <vt:variant>
        <vt:i4>5</vt:i4>
      </vt:variant>
      <vt:variant>
        <vt:lpwstr/>
      </vt:variant>
      <vt:variant>
        <vt:lpwstr>_Toc245621857</vt:lpwstr>
      </vt:variant>
      <vt:variant>
        <vt:i4>1114173</vt:i4>
      </vt:variant>
      <vt:variant>
        <vt:i4>392</vt:i4>
      </vt:variant>
      <vt:variant>
        <vt:i4>0</vt:i4>
      </vt:variant>
      <vt:variant>
        <vt:i4>5</vt:i4>
      </vt:variant>
      <vt:variant>
        <vt:lpwstr/>
      </vt:variant>
      <vt:variant>
        <vt:lpwstr>_Toc245621856</vt:lpwstr>
      </vt:variant>
      <vt:variant>
        <vt:i4>1114173</vt:i4>
      </vt:variant>
      <vt:variant>
        <vt:i4>386</vt:i4>
      </vt:variant>
      <vt:variant>
        <vt:i4>0</vt:i4>
      </vt:variant>
      <vt:variant>
        <vt:i4>5</vt:i4>
      </vt:variant>
      <vt:variant>
        <vt:lpwstr/>
      </vt:variant>
      <vt:variant>
        <vt:lpwstr>_Toc245621855</vt:lpwstr>
      </vt:variant>
      <vt:variant>
        <vt:i4>1114173</vt:i4>
      </vt:variant>
      <vt:variant>
        <vt:i4>380</vt:i4>
      </vt:variant>
      <vt:variant>
        <vt:i4>0</vt:i4>
      </vt:variant>
      <vt:variant>
        <vt:i4>5</vt:i4>
      </vt:variant>
      <vt:variant>
        <vt:lpwstr/>
      </vt:variant>
      <vt:variant>
        <vt:lpwstr>_Toc245621854</vt:lpwstr>
      </vt:variant>
      <vt:variant>
        <vt:i4>1114173</vt:i4>
      </vt:variant>
      <vt:variant>
        <vt:i4>374</vt:i4>
      </vt:variant>
      <vt:variant>
        <vt:i4>0</vt:i4>
      </vt:variant>
      <vt:variant>
        <vt:i4>5</vt:i4>
      </vt:variant>
      <vt:variant>
        <vt:lpwstr/>
      </vt:variant>
      <vt:variant>
        <vt:lpwstr>_Toc245621853</vt:lpwstr>
      </vt:variant>
      <vt:variant>
        <vt:i4>1114173</vt:i4>
      </vt:variant>
      <vt:variant>
        <vt:i4>368</vt:i4>
      </vt:variant>
      <vt:variant>
        <vt:i4>0</vt:i4>
      </vt:variant>
      <vt:variant>
        <vt:i4>5</vt:i4>
      </vt:variant>
      <vt:variant>
        <vt:lpwstr/>
      </vt:variant>
      <vt:variant>
        <vt:lpwstr>_Toc245621852</vt:lpwstr>
      </vt:variant>
      <vt:variant>
        <vt:i4>1114173</vt:i4>
      </vt:variant>
      <vt:variant>
        <vt:i4>362</vt:i4>
      </vt:variant>
      <vt:variant>
        <vt:i4>0</vt:i4>
      </vt:variant>
      <vt:variant>
        <vt:i4>5</vt:i4>
      </vt:variant>
      <vt:variant>
        <vt:lpwstr/>
      </vt:variant>
      <vt:variant>
        <vt:lpwstr>_Toc245621851</vt:lpwstr>
      </vt:variant>
      <vt:variant>
        <vt:i4>1114173</vt:i4>
      </vt:variant>
      <vt:variant>
        <vt:i4>356</vt:i4>
      </vt:variant>
      <vt:variant>
        <vt:i4>0</vt:i4>
      </vt:variant>
      <vt:variant>
        <vt:i4>5</vt:i4>
      </vt:variant>
      <vt:variant>
        <vt:lpwstr/>
      </vt:variant>
      <vt:variant>
        <vt:lpwstr>_Toc245621850</vt:lpwstr>
      </vt:variant>
      <vt:variant>
        <vt:i4>1048637</vt:i4>
      </vt:variant>
      <vt:variant>
        <vt:i4>350</vt:i4>
      </vt:variant>
      <vt:variant>
        <vt:i4>0</vt:i4>
      </vt:variant>
      <vt:variant>
        <vt:i4>5</vt:i4>
      </vt:variant>
      <vt:variant>
        <vt:lpwstr/>
      </vt:variant>
      <vt:variant>
        <vt:lpwstr>_Toc245621849</vt:lpwstr>
      </vt:variant>
      <vt:variant>
        <vt:i4>1048637</vt:i4>
      </vt:variant>
      <vt:variant>
        <vt:i4>344</vt:i4>
      </vt:variant>
      <vt:variant>
        <vt:i4>0</vt:i4>
      </vt:variant>
      <vt:variant>
        <vt:i4>5</vt:i4>
      </vt:variant>
      <vt:variant>
        <vt:lpwstr/>
      </vt:variant>
      <vt:variant>
        <vt:lpwstr>_Toc245621848</vt:lpwstr>
      </vt:variant>
      <vt:variant>
        <vt:i4>1048637</vt:i4>
      </vt:variant>
      <vt:variant>
        <vt:i4>338</vt:i4>
      </vt:variant>
      <vt:variant>
        <vt:i4>0</vt:i4>
      </vt:variant>
      <vt:variant>
        <vt:i4>5</vt:i4>
      </vt:variant>
      <vt:variant>
        <vt:lpwstr/>
      </vt:variant>
      <vt:variant>
        <vt:lpwstr>_Toc245621847</vt:lpwstr>
      </vt:variant>
      <vt:variant>
        <vt:i4>1048637</vt:i4>
      </vt:variant>
      <vt:variant>
        <vt:i4>332</vt:i4>
      </vt:variant>
      <vt:variant>
        <vt:i4>0</vt:i4>
      </vt:variant>
      <vt:variant>
        <vt:i4>5</vt:i4>
      </vt:variant>
      <vt:variant>
        <vt:lpwstr/>
      </vt:variant>
      <vt:variant>
        <vt:lpwstr>_Toc245621846</vt:lpwstr>
      </vt:variant>
      <vt:variant>
        <vt:i4>1048637</vt:i4>
      </vt:variant>
      <vt:variant>
        <vt:i4>326</vt:i4>
      </vt:variant>
      <vt:variant>
        <vt:i4>0</vt:i4>
      </vt:variant>
      <vt:variant>
        <vt:i4>5</vt:i4>
      </vt:variant>
      <vt:variant>
        <vt:lpwstr/>
      </vt:variant>
      <vt:variant>
        <vt:lpwstr>_Toc245621845</vt:lpwstr>
      </vt:variant>
      <vt:variant>
        <vt:i4>1048637</vt:i4>
      </vt:variant>
      <vt:variant>
        <vt:i4>320</vt:i4>
      </vt:variant>
      <vt:variant>
        <vt:i4>0</vt:i4>
      </vt:variant>
      <vt:variant>
        <vt:i4>5</vt:i4>
      </vt:variant>
      <vt:variant>
        <vt:lpwstr/>
      </vt:variant>
      <vt:variant>
        <vt:lpwstr>_Toc245621844</vt:lpwstr>
      </vt:variant>
      <vt:variant>
        <vt:i4>1048637</vt:i4>
      </vt:variant>
      <vt:variant>
        <vt:i4>314</vt:i4>
      </vt:variant>
      <vt:variant>
        <vt:i4>0</vt:i4>
      </vt:variant>
      <vt:variant>
        <vt:i4>5</vt:i4>
      </vt:variant>
      <vt:variant>
        <vt:lpwstr/>
      </vt:variant>
      <vt:variant>
        <vt:lpwstr>_Toc245621843</vt:lpwstr>
      </vt:variant>
      <vt:variant>
        <vt:i4>1048637</vt:i4>
      </vt:variant>
      <vt:variant>
        <vt:i4>308</vt:i4>
      </vt:variant>
      <vt:variant>
        <vt:i4>0</vt:i4>
      </vt:variant>
      <vt:variant>
        <vt:i4>5</vt:i4>
      </vt:variant>
      <vt:variant>
        <vt:lpwstr/>
      </vt:variant>
      <vt:variant>
        <vt:lpwstr>_Toc245621842</vt:lpwstr>
      </vt:variant>
      <vt:variant>
        <vt:i4>1048637</vt:i4>
      </vt:variant>
      <vt:variant>
        <vt:i4>302</vt:i4>
      </vt:variant>
      <vt:variant>
        <vt:i4>0</vt:i4>
      </vt:variant>
      <vt:variant>
        <vt:i4>5</vt:i4>
      </vt:variant>
      <vt:variant>
        <vt:lpwstr/>
      </vt:variant>
      <vt:variant>
        <vt:lpwstr>_Toc245621841</vt:lpwstr>
      </vt:variant>
      <vt:variant>
        <vt:i4>1048637</vt:i4>
      </vt:variant>
      <vt:variant>
        <vt:i4>296</vt:i4>
      </vt:variant>
      <vt:variant>
        <vt:i4>0</vt:i4>
      </vt:variant>
      <vt:variant>
        <vt:i4>5</vt:i4>
      </vt:variant>
      <vt:variant>
        <vt:lpwstr/>
      </vt:variant>
      <vt:variant>
        <vt:lpwstr>_Toc245621840</vt:lpwstr>
      </vt:variant>
      <vt:variant>
        <vt:i4>1507389</vt:i4>
      </vt:variant>
      <vt:variant>
        <vt:i4>290</vt:i4>
      </vt:variant>
      <vt:variant>
        <vt:i4>0</vt:i4>
      </vt:variant>
      <vt:variant>
        <vt:i4>5</vt:i4>
      </vt:variant>
      <vt:variant>
        <vt:lpwstr/>
      </vt:variant>
      <vt:variant>
        <vt:lpwstr>_Toc245621839</vt:lpwstr>
      </vt:variant>
      <vt:variant>
        <vt:i4>1507389</vt:i4>
      </vt:variant>
      <vt:variant>
        <vt:i4>284</vt:i4>
      </vt:variant>
      <vt:variant>
        <vt:i4>0</vt:i4>
      </vt:variant>
      <vt:variant>
        <vt:i4>5</vt:i4>
      </vt:variant>
      <vt:variant>
        <vt:lpwstr/>
      </vt:variant>
      <vt:variant>
        <vt:lpwstr>_Toc245621838</vt:lpwstr>
      </vt:variant>
      <vt:variant>
        <vt:i4>1507389</vt:i4>
      </vt:variant>
      <vt:variant>
        <vt:i4>278</vt:i4>
      </vt:variant>
      <vt:variant>
        <vt:i4>0</vt:i4>
      </vt:variant>
      <vt:variant>
        <vt:i4>5</vt:i4>
      </vt:variant>
      <vt:variant>
        <vt:lpwstr/>
      </vt:variant>
      <vt:variant>
        <vt:lpwstr>_Toc245621837</vt:lpwstr>
      </vt:variant>
      <vt:variant>
        <vt:i4>1507389</vt:i4>
      </vt:variant>
      <vt:variant>
        <vt:i4>272</vt:i4>
      </vt:variant>
      <vt:variant>
        <vt:i4>0</vt:i4>
      </vt:variant>
      <vt:variant>
        <vt:i4>5</vt:i4>
      </vt:variant>
      <vt:variant>
        <vt:lpwstr/>
      </vt:variant>
      <vt:variant>
        <vt:lpwstr>_Toc245621836</vt:lpwstr>
      </vt:variant>
      <vt:variant>
        <vt:i4>1507389</vt:i4>
      </vt:variant>
      <vt:variant>
        <vt:i4>266</vt:i4>
      </vt:variant>
      <vt:variant>
        <vt:i4>0</vt:i4>
      </vt:variant>
      <vt:variant>
        <vt:i4>5</vt:i4>
      </vt:variant>
      <vt:variant>
        <vt:lpwstr/>
      </vt:variant>
      <vt:variant>
        <vt:lpwstr>_Toc245621835</vt:lpwstr>
      </vt:variant>
      <vt:variant>
        <vt:i4>1507389</vt:i4>
      </vt:variant>
      <vt:variant>
        <vt:i4>260</vt:i4>
      </vt:variant>
      <vt:variant>
        <vt:i4>0</vt:i4>
      </vt:variant>
      <vt:variant>
        <vt:i4>5</vt:i4>
      </vt:variant>
      <vt:variant>
        <vt:lpwstr/>
      </vt:variant>
      <vt:variant>
        <vt:lpwstr>_Toc245621834</vt:lpwstr>
      </vt:variant>
      <vt:variant>
        <vt:i4>1507389</vt:i4>
      </vt:variant>
      <vt:variant>
        <vt:i4>254</vt:i4>
      </vt:variant>
      <vt:variant>
        <vt:i4>0</vt:i4>
      </vt:variant>
      <vt:variant>
        <vt:i4>5</vt:i4>
      </vt:variant>
      <vt:variant>
        <vt:lpwstr/>
      </vt:variant>
      <vt:variant>
        <vt:lpwstr>_Toc245621833</vt:lpwstr>
      </vt:variant>
      <vt:variant>
        <vt:i4>1507389</vt:i4>
      </vt:variant>
      <vt:variant>
        <vt:i4>248</vt:i4>
      </vt:variant>
      <vt:variant>
        <vt:i4>0</vt:i4>
      </vt:variant>
      <vt:variant>
        <vt:i4>5</vt:i4>
      </vt:variant>
      <vt:variant>
        <vt:lpwstr/>
      </vt:variant>
      <vt:variant>
        <vt:lpwstr>_Toc245621832</vt:lpwstr>
      </vt:variant>
      <vt:variant>
        <vt:i4>1507389</vt:i4>
      </vt:variant>
      <vt:variant>
        <vt:i4>242</vt:i4>
      </vt:variant>
      <vt:variant>
        <vt:i4>0</vt:i4>
      </vt:variant>
      <vt:variant>
        <vt:i4>5</vt:i4>
      </vt:variant>
      <vt:variant>
        <vt:lpwstr/>
      </vt:variant>
      <vt:variant>
        <vt:lpwstr>_Toc245621831</vt:lpwstr>
      </vt:variant>
      <vt:variant>
        <vt:i4>1507389</vt:i4>
      </vt:variant>
      <vt:variant>
        <vt:i4>236</vt:i4>
      </vt:variant>
      <vt:variant>
        <vt:i4>0</vt:i4>
      </vt:variant>
      <vt:variant>
        <vt:i4>5</vt:i4>
      </vt:variant>
      <vt:variant>
        <vt:lpwstr/>
      </vt:variant>
      <vt:variant>
        <vt:lpwstr>_Toc245621830</vt:lpwstr>
      </vt:variant>
      <vt:variant>
        <vt:i4>1441853</vt:i4>
      </vt:variant>
      <vt:variant>
        <vt:i4>230</vt:i4>
      </vt:variant>
      <vt:variant>
        <vt:i4>0</vt:i4>
      </vt:variant>
      <vt:variant>
        <vt:i4>5</vt:i4>
      </vt:variant>
      <vt:variant>
        <vt:lpwstr/>
      </vt:variant>
      <vt:variant>
        <vt:lpwstr>_Toc245621829</vt:lpwstr>
      </vt:variant>
      <vt:variant>
        <vt:i4>1441853</vt:i4>
      </vt:variant>
      <vt:variant>
        <vt:i4>224</vt:i4>
      </vt:variant>
      <vt:variant>
        <vt:i4>0</vt:i4>
      </vt:variant>
      <vt:variant>
        <vt:i4>5</vt:i4>
      </vt:variant>
      <vt:variant>
        <vt:lpwstr/>
      </vt:variant>
      <vt:variant>
        <vt:lpwstr>_Toc245621828</vt:lpwstr>
      </vt:variant>
      <vt:variant>
        <vt:i4>1441853</vt:i4>
      </vt:variant>
      <vt:variant>
        <vt:i4>218</vt:i4>
      </vt:variant>
      <vt:variant>
        <vt:i4>0</vt:i4>
      </vt:variant>
      <vt:variant>
        <vt:i4>5</vt:i4>
      </vt:variant>
      <vt:variant>
        <vt:lpwstr/>
      </vt:variant>
      <vt:variant>
        <vt:lpwstr>_Toc245621827</vt:lpwstr>
      </vt:variant>
      <vt:variant>
        <vt:i4>1441853</vt:i4>
      </vt:variant>
      <vt:variant>
        <vt:i4>212</vt:i4>
      </vt:variant>
      <vt:variant>
        <vt:i4>0</vt:i4>
      </vt:variant>
      <vt:variant>
        <vt:i4>5</vt:i4>
      </vt:variant>
      <vt:variant>
        <vt:lpwstr/>
      </vt:variant>
      <vt:variant>
        <vt:lpwstr>_Toc245621826</vt:lpwstr>
      </vt:variant>
      <vt:variant>
        <vt:i4>1441853</vt:i4>
      </vt:variant>
      <vt:variant>
        <vt:i4>206</vt:i4>
      </vt:variant>
      <vt:variant>
        <vt:i4>0</vt:i4>
      </vt:variant>
      <vt:variant>
        <vt:i4>5</vt:i4>
      </vt:variant>
      <vt:variant>
        <vt:lpwstr/>
      </vt:variant>
      <vt:variant>
        <vt:lpwstr>_Toc245621825</vt:lpwstr>
      </vt:variant>
      <vt:variant>
        <vt:i4>1441853</vt:i4>
      </vt:variant>
      <vt:variant>
        <vt:i4>200</vt:i4>
      </vt:variant>
      <vt:variant>
        <vt:i4>0</vt:i4>
      </vt:variant>
      <vt:variant>
        <vt:i4>5</vt:i4>
      </vt:variant>
      <vt:variant>
        <vt:lpwstr/>
      </vt:variant>
      <vt:variant>
        <vt:lpwstr>_Toc245621824</vt:lpwstr>
      </vt:variant>
      <vt:variant>
        <vt:i4>1441853</vt:i4>
      </vt:variant>
      <vt:variant>
        <vt:i4>194</vt:i4>
      </vt:variant>
      <vt:variant>
        <vt:i4>0</vt:i4>
      </vt:variant>
      <vt:variant>
        <vt:i4>5</vt:i4>
      </vt:variant>
      <vt:variant>
        <vt:lpwstr/>
      </vt:variant>
      <vt:variant>
        <vt:lpwstr>_Toc245621823</vt:lpwstr>
      </vt:variant>
      <vt:variant>
        <vt:i4>1441853</vt:i4>
      </vt:variant>
      <vt:variant>
        <vt:i4>188</vt:i4>
      </vt:variant>
      <vt:variant>
        <vt:i4>0</vt:i4>
      </vt:variant>
      <vt:variant>
        <vt:i4>5</vt:i4>
      </vt:variant>
      <vt:variant>
        <vt:lpwstr/>
      </vt:variant>
      <vt:variant>
        <vt:lpwstr>_Toc245621822</vt:lpwstr>
      </vt:variant>
      <vt:variant>
        <vt:i4>1441853</vt:i4>
      </vt:variant>
      <vt:variant>
        <vt:i4>182</vt:i4>
      </vt:variant>
      <vt:variant>
        <vt:i4>0</vt:i4>
      </vt:variant>
      <vt:variant>
        <vt:i4>5</vt:i4>
      </vt:variant>
      <vt:variant>
        <vt:lpwstr/>
      </vt:variant>
      <vt:variant>
        <vt:lpwstr>_Toc245621821</vt:lpwstr>
      </vt:variant>
      <vt:variant>
        <vt:i4>1441853</vt:i4>
      </vt:variant>
      <vt:variant>
        <vt:i4>176</vt:i4>
      </vt:variant>
      <vt:variant>
        <vt:i4>0</vt:i4>
      </vt:variant>
      <vt:variant>
        <vt:i4>5</vt:i4>
      </vt:variant>
      <vt:variant>
        <vt:lpwstr/>
      </vt:variant>
      <vt:variant>
        <vt:lpwstr>_Toc245621820</vt:lpwstr>
      </vt:variant>
      <vt:variant>
        <vt:i4>1376317</vt:i4>
      </vt:variant>
      <vt:variant>
        <vt:i4>170</vt:i4>
      </vt:variant>
      <vt:variant>
        <vt:i4>0</vt:i4>
      </vt:variant>
      <vt:variant>
        <vt:i4>5</vt:i4>
      </vt:variant>
      <vt:variant>
        <vt:lpwstr/>
      </vt:variant>
      <vt:variant>
        <vt:lpwstr>_Toc245621819</vt:lpwstr>
      </vt:variant>
      <vt:variant>
        <vt:i4>1376317</vt:i4>
      </vt:variant>
      <vt:variant>
        <vt:i4>164</vt:i4>
      </vt:variant>
      <vt:variant>
        <vt:i4>0</vt:i4>
      </vt:variant>
      <vt:variant>
        <vt:i4>5</vt:i4>
      </vt:variant>
      <vt:variant>
        <vt:lpwstr/>
      </vt:variant>
      <vt:variant>
        <vt:lpwstr>_Toc245621818</vt:lpwstr>
      </vt:variant>
      <vt:variant>
        <vt:i4>1376317</vt:i4>
      </vt:variant>
      <vt:variant>
        <vt:i4>158</vt:i4>
      </vt:variant>
      <vt:variant>
        <vt:i4>0</vt:i4>
      </vt:variant>
      <vt:variant>
        <vt:i4>5</vt:i4>
      </vt:variant>
      <vt:variant>
        <vt:lpwstr/>
      </vt:variant>
      <vt:variant>
        <vt:lpwstr>_Toc245621817</vt:lpwstr>
      </vt:variant>
      <vt:variant>
        <vt:i4>1376317</vt:i4>
      </vt:variant>
      <vt:variant>
        <vt:i4>152</vt:i4>
      </vt:variant>
      <vt:variant>
        <vt:i4>0</vt:i4>
      </vt:variant>
      <vt:variant>
        <vt:i4>5</vt:i4>
      </vt:variant>
      <vt:variant>
        <vt:lpwstr/>
      </vt:variant>
      <vt:variant>
        <vt:lpwstr>_Toc245621816</vt:lpwstr>
      </vt:variant>
      <vt:variant>
        <vt:i4>1376317</vt:i4>
      </vt:variant>
      <vt:variant>
        <vt:i4>146</vt:i4>
      </vt:variant>
      <vt:variant>
        <vt:i4>0</vt:i4>
      </vt:variant>
      <vt:variant>
        <vt:i4>5</vt:i4>
      </vt:variant>
      <vt:variant>
        <vt:lpwstr/>
      </vt:variant>
      <vt:variant>
        <vt:lpwstr>_Toc245621815</vt:lpwstr>
      </vt:variant>
      <vt:variant>
        <vt:i4>1376317</vt:i4>
      </vt:variant>
      <vt:variant>
        <vt:i4>140</vt:i4>
      </vt:variant>
      <vt:variant>
        <vt:i4>0</vt:i4>
      </vt:variant>
      <vt:variant>
        <vt:i4>5</vt:i4>
      </vt:variant>
      <vt:variant>
        <vt:lpwstr/>
      </vt:variant>
      <vt:variant>
        <vt:lpwstr>_Toc245621814</vt:lpwstr>
      </vt:variant>
      <vt:variant>
        <vt:i4>1376317</vt:i4>
      </vt:variant>
      <vt:variant>
        <vt:i4>134</vt:i4>
      </vt:variant>
      <vt:variant>
        <vt:i4>0</vt:i4>
      </vt:variant>
      <vt:variant>
        <vt:i4>5</vt:i4>
      </vt:variant>
      <vt:variant>
        <vt:lpwstr/>
      </vt:variant>
      <vt:variant>
        <vt:lpwstr>_Toc245621813</vt:lpwstr>
      </vt:variant>
      <vt:variant>
        <vt:i4>1376317</vt:i4>
      </vt:variant>
      <vt:variant>
        <vt:i4>128</vt:i4>
      </vt:variant>
      <vt:variant>
        <vt:i4>0</vt:i4>
      </vt:variant>
      <vt:variant>
        <vt:i4>5</vt:i4>
      </vt:variant>
      <vt:variant>
        <vt:lpwstr/>
      </vt:variant>
      <vt:variant>
        <vt:lpwstr>_Toc245621812</vt:lpwstr>
      </vt:variant>
      <vt:variant>
        <vt:i4>1376317</vt:i4>
      </vt:variant>
      <vt:variant>
        <vt:i4>122</vt:i4>
      </vt:variant>
      <vt:variant>
        <vt:i4>0</vt:i4>
      </vt:variant>
      <vt:variant>
        <vt:i4>5</vt:i4>
      </vt:variant>
      <vt:variant>
        <vt:lpwstr/>
      </vt:variant>
      <vt:variant>
        <vt:lpwstr>_Toc245621811</vt:lpwstr>
      </vt:variant>
      <vt:variant>
        <vt:i4>1376317</vt:i4>
      </vt:variant>
      <vt:variant>
        <vt:i4>116</vt:i4>
      </vt:variant>
      <vt:variant>
        <vt:i4>0</vt:i4>
      </vt:variant>
      <vt:variant>
        <vt:i4>5</vt:i4>
      </vt:variant>
      <vt:variant>
        <vt:lpwstr/>
      </vt:variant>
      <vt:variant>
        <vt:lpwstr>_Toc245621810</vt:lpwstr>
      </vt:variant>
      <vt:variant>
        <vt:i4>1310781</vt:i4>
      </vt:variant>
      <vt:variant>
        <vt:i4>110</vt:i4>
      </vt:variant>
      <vt:variant>
        <vt:i4>0</vt:i4>
      </vt:variant>
      <vt:variant>
        <vt:i4>5</vt:i4>
      </vt:variant>
      <vt:variant>
        <vt:lpwstr/>
      </vt:variant>
      <vt:variant>
        <vt:lpwstr>_Toc245621809</vt:lpwstr>
      </vt:variant>
      <vt:variant>
        <vt:i4>1310781</vt:i4>
      </vt:variant>
      <vt:variant>
        <vt:i4>104</vt:i4>
      </vt:variant>
      <vt:variant>
        <vt:i4>0</vt:i4>
      </vt:variant>
      <vt:variant>
        <vt:i4>5</vt:i4>
      </vt:variant>
      <vt:variant>
        <vt:lpwstr/>
      </vt:variant>
      <vt:variant>
        <vt:lpwstr>_Toc245621808</vt:lpwstr>
      </vt:variant>
      <vt:variant>
        <vt:i4>1310781</vt:i4>
      </vt:variant>
      <vt:variant>
        <vt:i4>98</vt:i4>
      </vt:variant>
      <vt:variant>
        <vt:i4>0</vt:i4>
      </vt:variant>
      <vt:variant>
        <vt:i4>5</vt:i4>
      </vt:variant>
      <vt:variant>
        <vt:lpwstr/>
      </vt:variant>
      <vt:variant>
        <vt:lpwstr>_Toc245621807</vt:lpwstr>
      </vt:variant>
      <vt:variant>
        <vt:i4>1310781</vt:i4>
      </vt:variant>
      <vt:variant>
        <vt:i4>92</vt:i4>
      </vt:variant>
      <vt:variant>
        <vt:i4>0</vt:i4>
      </vt:variant>
      <vt:variant>
        <vt:i4>5</vt:i4>
      </vt:variant>
      <vt:variant>
        <vt:lpwstr/>
      </vt:variant>
      <vt:variant>
        <vt:lpwstr>_Toc245621806</vt:lpwstr>
      </vt:variant>
      <vt:variant>
        <vt:i4>1310781</vt:i4>
      </vt:variant>
      <vt:variant>
        <vt:i4>86</vt:i4>
      </vt:variant>
      <vt:variant>
        <vt:i4>0</vt:i4>
      </vt:variant>
      <vt:variant>
        <vt:i4>5</vt:i4>
      </vt:variant>
      <vt:variant>
        <vt:lpwstr/>
      </vt:variant>
      <vt:variant>
        <vt:lpwstr>_Toc245621805</vt:lpwstr>
      </vt:variant>
      <vt:variant>
        <vt:i4>1310781</vt:i4>
      </vt:variant>
      <vt:variant>
        <vt:i4>80</vt:i4>
      </vt:variant>
      <vt:variant>
        <vt:i4>0</vt:i4>
      </vt:variant>
      <vt:variant>
        <vt:i4>5</vt:i4>
      </vt:variant>
      <vt:variant>
        <vt:lpwstr/>
      </vt:variant>
      <vt:variant>
        <vt:lpwstr>_Toc245621804</vt:lpwstr>
      </vt:variant>
      <vt:variant>
        <vt:i4>1310781</vt:i4>
      </vt:variant>
      <vt:variant>
        <vt:i4>74</vt:i4>
      </vt:variant>
      <vt:variant>
        <vt:i4>0</vt:i4>
      </vt:variant>
      <vt:variant>
        <vt:i4>5</vt:i4>
      </vt:variant>
      <vt:variant>
        <vt:lpwstr/>
      </vt:variant>
      <vt:variant>
        <vt:lpwstr>_Toc245621803</vt:lpwstr>
      </vt:variant>
      <vt:variant>
        <vt:i4>1310781</vt:i4>
      </vt:variant>
      <vt:variant>
        <vt:i4>68</vt:i4>
      </vt:variant>
      <vt:variant>
        <vt:i4>0</vt:i4>
      </vt:variant>
      <vt:variant>
        <vt:i4>5</vt:i4>
      </vt:variant>
      <vt:variant>
        <vt:lpwstr/>
      </vt:variant>
      <vt:variant>
        <vt:lpwstr>_Toc245621802</vt:lpwstr>
      </vt:variant>
      <vt:variant>
        <vt:i4>1310781</vt:i4>
      </vt:variant>
      <vt:variant>
        <vt:i4>62</vt:i4>
      </vt:variant>
      <vt:variant>
        <vt:i4>0</vt:i4>
      </vt:variant>
      <vt:variant>
        <vt:i4>5</vt:i4>
      </vt:variant>
      <vt:variant>
        <vt:lpwstr/>
      </vt:variant>
      <vt:variant>
        <vt:lpwstr>_Toc245621801</vt:lpwstr>
      </vt:variant>
      <vt:variant>
        <vt:i4>1310781</vt:i4>
      </vt:variant>
      <vt:variant>
        <vt:i4>56</vt:i4>
      </vt:variant>
      <vt:variant>
        <vt:i4>0</vt:i4>
      </vt:variant>
      <vt:variant>
        <vt:i4>5</vt:i4>
      </vt:variant>
      <vt:variant>
        <vt:lpwstr/>
      </vt:variant>
      <vt:variant>
        <vt:lpwstr>_Toc245621800</vt:lpwstr>
      </vt:variant>
      <vt:variant>
        <vt:i4>1310781</vt:i4>
      </vt:variant>
      <vt:variant>
        <vt:i4>50</vt:i4>
      </vt:variant>
      <vt:variant>
        <vt:i4>0</vt:i4>
      </vt:variant>
      <vt:variant>
        <vt:i4>5</vt:i4>
      </vt:variant>
      <vt:variant>
        <vt:lpwstr/>
      </vt:variant>
      <vt:variant>
        <vt:lpwstr>_Toc245621800</vt:lpwstr>
      </vt:variant>
      <vt:variant>
        <vt:i4>1310781</vt:i4>
      </vt:variant>
      <vt:variant>
        <vt:i4>44</vt:i4>
      </vt:variant>
      <vt:variant>
        <vt:i4>0</vt:i4>
      </vt:variant>
      <vt:variant>
        <vt:i4>5</vt:i4>
      </vt:variant>
      <vt:variant>
        <vt:lpwstr/>
      </vt:variant>
      <vt:variant>
        <vt:lpwstr>_Toc245621800</vt:lpwstr>
      </vt:variant>
      <vt:variant>
        <vt:i4>1310781</vt:i4>
      </vt:variant>
      <vt:variant>
        <vt:i4>38</vt:i4>
      </vt:variant>
      <vt:variant>
        <vt:i4>0</vt:i4>
      </vt:variant>
      <vt:variant>
        <vt:i4>5</vt:i4>
      </vt:variant>
      <vt:variant>
        <vt:lpwstr/>
      </vt:variant>
      <vt:variant>
        <vt:lpwstr>_Toc245621800</vt:lpwstr>
      </vt:variant>
      <vt:variant>
        <vt:i4>1900594</vt:i4>
      </vt:variant>
      <vt:variant>
        <vt:i4>32</vt:i4>
      </vt:variant>
      <vt:variant>
        <vt:i4>0</vt:i4>
      </vt:variant>
      <vt:variant>
        <vt:i4>5</vt:i4>
      </vt:variant>
      <vt:variant>
        <vt:lpwstr/>
      </vt:variant>
      <vt:variant>
        <vt:lpwstr>_Toc245621799</vt:lpwstr>
      </vt:variant>
      <vt:variant>
        <vt:i4>1900594</vt:i4>
      </vt:variant>
      <vt:variant>
        <vt:i4>26</vt:i4>
      </vt:variant>
      <vt:variant>
        <vt:i4>0</vt:i4>
      </vt:variant>
      <vt:variant>
        <vt:i4>5</vt:i4>
      </vt:variant>
      <vt:variant>
        <vt:lpwstr/>
      </vt:variant>
      <vt:variant>
        <vt:lpwstr>_Toc245621798</vt:lpwstr>
      </vt:variant>
      <vt:variant>
        <vt:i4>1900594</vt:i4>
      </vt:variant>
      <vt:variant>
        <vt:i4>20</vt:i4>
      </vt:variant>
      <vt:variant>
        <vt:i4>0</vt:i4>
      </vt:variant>
      <vt:variant>
        <vt:i4>5</vt:i4>
      </vt:variant>
      <vt:variant>
        <vt:lpwstr/>
      </vt:variant>
      <vt:variant>
        <vt:lpwstr>_Toc245621797</vt:lpwstr>
      </vt:variant>
      <vt:variant>
        <vt:i4>1900594</vt:i4>
      </vt:variant>
      <vt:variant>
        <vt:i4>14</vt:i4>
      </vt:variant>
      <vt:variant>
        <vt:i4>0</vt:i4>
      </vt:variant>
      <vt:variant>
        <vt:i4>5</vt:i4>
      </vt:variant>
      <vt:variant>
        <vt:lpwstr/>
      </vt:variant>
      <vt:variant>
        <vt:lpwstr>_Toc245621796</vt:lpwstr>
      </vt:variant>
      <vt:variant>
        <vt:i4>1900594</vt:i4>
      </vt:variant>
      <vt:variant>
        <vt:i4>8</vt:i4>
      </vt:variant>
      <vt:variant>
        <vt:i4>0</vt:i4>
      </vt:variant>
      <vt:variant>
        <vt:i4>5</vt:i4>
      </vt:variant>
      <vt:variant>
        <vt:lpwstr/>
      </vt:variant>
      <vt:variant>
        <vt:lpwstr>_Toc245621795</vt:lpwstr>
      </vt:variant>
      <vt:variant>
        <vt:i4>1900594</vt:i4>
      </vt:variant>
      <vt:variant>
        <vt:i4>2</vt:i4>
      </vt:variant>
      <vt:variant>
        <vt:i4>0</vt:i4>
      </vt:variant>
      <vt:variant>
        <vt:i4>5</vt:i4>
      </vt:variant>
      <vt:variant>
        <vt:lpwstr/>
      </vt:variant>
      <vt:variant>
        <vt:lpwstr>_Toc245621794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Template_numbered</dc:title>
  <dc:creator>Gil Cerise</dc:creator>
  <cp:lastModifiedBy>Matt Aamot</cp:lastModifiedBy>
  <cp:revision>10</cp:revision>
  <cp:lastPrinted>2016-05-17T15:45:00Z</cp:lastPrinted>
  <dcterms:created xsi:type="dcterms:W3CDTF">2016-05-23T19:29:00Z</dcterms:created>
  <dcterms:modified xsi:type="dcterms:W3CDTF">2016-05-27T16:04:00Z</dcterms:modified>
</cp:coreProperties>
</file>